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4AFC" w:rsidRPr="00244AFC" w:rsidRDefault="00244AFC" w:rsidP="00244AFC">
      <w:pPr>
        <w:autoSpaceDE w:val="0"/>
        <w:autoSpaceDN w:val="0"/>
        <w:adjustRightInd w:val="0"/>
        <w:spacing w:after="240"/>
        <w:rPr>
          <w:rFonts w:ascii="Minion Pro" w:eastAsia="Minion Pro" w:hAnsi="Minion Pro" w:cs="Minion Pro"/>
          <w:b/>
          <w:bCs/>
          <w:color w:val="337AB7"/>
          <w:sz w:val="36"/>
          <w:szCs w:val="36"/>
        </w:rPr>
      </w:pPr>
      <w:r w:rsidRPr="00244AFC">
        <w:rPr>
          <w:rFonts w:ascii="Minion Pro" w:eastAsia="Minion Pro" w:hAnsi="Minion Pro" w:cs="Minion Pro"/>
          <w:b/>
          <w:bCs/>
          <w:color w:val="337AB7"/>
          <w:sz w:val="36"/>
          <w:szCs w:val="36"/>
        </w:rPr>
        <w:t xml:space="preserve">Gastrointestinal digestion of chlorophyll from chloroplast thylakoid membrane in </w:t>
      </w:r>
      <w:r w:rsidR="00563CC0" w:rsidRPr="00563CC0">
        <w:rPr>
          <w:rFonts w:ascii="Minion Pro" w:eastAsia="Minion Pro" w:hAnsi="Minion Pro" w:cs="Minion Pro" w:hint="eastAsia"/>
          <w:b/>
          <w:bCs/>
          <w:i/>
          <w:color w:val="337AB7"/>
          <w:sz w:val="36"/>
          <w:szCs w:val="36"/>
          <w:lang w:eastAsia="zh-CN"/>
        </w:rPr>
        <w:t>S</w:t>
      </w:r>
      <w:r w:rsidRPr="00563CC0">
        <w:rPr>
          <w:rFonts w:ascii="Minion Pro" w:eastAsia="Minion Pro" w:hAnsi="Minion Pro" w:cs="Minion Pro" w:hint="eastAsia"/>
          <w:b/>
          <w:bCs/>
          <w:i/>
          <w:color w:val="337AB7"/>
          <w:sz w:val="36"/>
          <w:szCs w:val="36"/>
        </w:rPr>
        <w:t>pinach</w:t>
      </w:r>
      <w:r w:rsidRPr="00563CC0">
        <w:rPr>
          <w:rFonts w:ascii="Minion Pro" w:eastAsia="Minion Pro" w:hAnsi="Minion Pro" w:cs="Minion Pro"/>
          <w:b/>
          <w:bCs/>
          <w:i/>
          <w:color w:val="337AB7"/>
          <w:sz w:val="36"/>
          <w:szCs w:val="36"/>
        </w:rPr>
        <w:t xml:space="preserve"> </w:t>
      </w:r>
      <w:r w:rsidRPr="00244AFC">
        <w:rPr>
          <w:rFonts w:ascii="Minion Pro" w:eastAsia="Minion Pro" w:hAnsi="Minion Pro" w:cs="Minion Pro"/>
          <w:b/>
          <w:bCs/>
          <w:color w:val="337AB7"/>
          <w:sz w:val="36"/>
          <w:szCs w:val="36"/>
        </w:rPr>
        <w:t xml:space="preserve">and </w:t>
      </w:r>
      <w:r w:rsidR="00563CC0" w:rsidRPr="00563CC0">
        <w:rPr>
          <w:rFonts w:ascii="Minion Pro" w:eastAsia="Minion Pro" w:hAnsi="Minion Pro" w:cs="Minion Pro" w:hint="eastAsia"/>
          <w:b/>
          <w:bCs/>
          <w:i/>
          <w:color w:val="337AB7"/>
          <w:sz w:val="36"/>
          <w:szCs w:val="36"/>
          <w:lang w:eastAsia="zh-CN"/>
        </w:rPr>
        <w:t>M</w:t>
      </w:r>
      <w:r w:rsidRPr="00563CC0">
        <w:rPr>
          <w:rFonts w:ascii="Minion Pro" w:eastAsia="Minion Pro" w:hAnsi="Minion Pro" w:cs="Minion Pro" w:hint="eastAsia"/>
          <w:b/>
          <w:bCs/>
          <w:i/>
          <w:color w:val="337AB7"/>
          <w:sz w:val="36"/>
          <w:szCs w:val="36"/>
          <w:lang w:eastAsia="zh-CN"/>
        </w:rPr>
        <w:t>o</w:t>
      </w:r>
      <w:r w:rsidRPr="00563CC0">
        <w:rPr>
          <w:rFonts w:ascii="Minion Pro" w:eastAsia="Minion Pro" w:hAnsi="Minion Pro" w:cs="Minion Pro" w:hint="eastAsia"/>
          <w:b/>
          <w:bCs/>
          <w:i/>
          <w:color w:val="337AB7"/>
          <w:sz w:val="36"/>
          <w:szCs w:val="36"/>
        </w:rPr>
        <w:t>ringa</w:t>
      </w:r>
      <w:r w:rsidRPr="00244AFC">
        <w:rPr>
          <w:rFonts w:ascii="Minion Pro" w:eastAsia="Minion Pro" w:hAnsi="Minion Pro" w:cs="Minion Pro"/>
          <w:b/>
          <w:bCs/>
          <w:color w:val="337AB7"/>
          <w:sz w:val="36"/>
          <w:szCs w:val="36"/>
        </w:rPr>
        <w:t xml:space="preserve">: Impact of oil in </w:t>
      </w:r>
      <w:r w:rsidRPr="00244AFC">
        <w:rPr>
          <w:rFonts w:ascii="Minion Pro" w:eastAsia="Minion Pro" w:hAnsi="Minion Pro" w:cs="Minion Pro"/>
          <w:b/>
          <w:bCs/>
          <w:i/>
          <w:color w:val="337AB7"/>
          <w:sz w:val="36"/>
          <w:szCs w:val="36"/>
        </w:rPr>
        <w:t>vitro</w:t>
      </w:r>
      <w:r w:rsidRPr="00244AFC">
        <w:rPr>
          <w:rFonts w:ascii="Minion Pro" w:eastAsia="Minion Pro" w:hAnsi="Minion Pro" w:cs="Minion Pro"/>
          <w:b/>
          <w:bCs/>
          <w:color w:val="337AB7"/>
          <w:sz w:val="36"/>
          <w:szCs w:val="36"/>
        </w:rPr>
        <w:t xml:space="preserve"> infant and adult digestion conditions</w:t>
      </w:r>
    </w:p>
    <w:p w:rsidR="00246EFC" w:rsidRDefault="004F23A0" w:rsidP="004F23A0">
      <w:pPr>
        <w:rPr>
          <w:rFonts w:ascii="Arial"/>
          <w:sz w:val="18"/>
          <w:szCs w:val="18"/>
        </w:rPr>
      </w:pPr>
      <w:proofErr w:type="spellStart"/>
      <w:r w:rsidRPr="004F23A0">
        <w:rPr>
          <w:rFonts w:ascii="Arial"/>
          <w:sz w:val="18"/>
          <w:szCs w:val="18"/>
        </w:rPr>
        <w:t>Yuanyuan</w:t>
      </w:r>
      <w:proofErr w:type="spellEnd"/>
      <w:r w:rsidRPr="004F23A0">
        <w:rPr>
          <w:rFonts w:ascii="Arial"/>
          <w:sz w:val="18"/>
          <w:szCs w:val="18"/>
        </w:rPr>
        <w:t xml:space="preserve"> Li, </w:t>
      </w:r>
      <w:proofErr w:type="spellStart"/>
      <w:r w:rsidR="00246EFC">
        <w:rPr>
          <w:rFonts w:ascii="Arial"/>
          <w:sz w:val="18"/>
          <w:szCs w:val="18"/>
        </w:rPr>
        <w:t>Jiarui</w:t>
      </w:r>
      <w:proofErr w:type="spellEnd"/>
      <w:r w:rsidR="00246EFC">
        <w:rPr>
          <w:rFonts w:ascii="Arial"/>
          <w:sz w:val="18"/>
          <w:szCs w:val="18"/>
        </w:rPr>
        <w:t xml:space="preserve"> Cao, Y</w:t>
      </w:r>
      <w:r w:rsidR="00246EFC">
        <w:rPr>
          <w:rFonts w:ascii="Arial" w:hint="eastAsia"/>
          <w:sz w:val="18"/>
          <w:szCs w:val="18"/>
          <w:lang w:eastAsia="zh-CN"/>
        </w:rPr>
        <w:t>an</w:t>
      </w:r>
      <w:r w:rsidR="00246EFC">
        <w:rPr>
          <w:rFonts w:ascii="Arial"/>
          <w:sz w:val="18"/>
          <w:szCs w:val="18"/>
          <w:lang w:eastAsia="zh-CN"/>
        </w:rPr>
        <w:t xml:space="preserve"> Zhang</w:t>
      </w:r>
      <w:r w:rsidR="00246EFC">
        <w:rPr>
          <w:rFonts w:ascii="Arial"/>
          <w:sz w:val="18"/>
          <w:szCs w:val="18"/>
        </w:rPr>
        <w:t>*</w:t>
      </w:r>
    </w:p>
    <w:p w:rsidR="004F23A0" w:rsidRDefault="004F23A0" w:rsidP="004F23A0">
      <w:pPr>
        <w:rPr>
          <w:rFonts w:ascii="Arial"/>
          <w:sz w:val="18"/>
          <w:szCs w:val="18"/>
        </w:rPr>
      </w:pPr>
      <w:r w:rsidRPr="004F23A0">
        <w:rPr>
          <w:rFonts w:ascii="Arial"/>
          <w:sz w:val="18"/>
          <w:szCs w:val="18"/>
        </w:rPr>
        <w:t>College of Food Science and Nutritional Engineering, China Agricultural University, Beijing</w:t>
      </w:r>
      <w:bookmarkStart w:id="0" w:name="OLE_LINK93"/>
      <w:bookmarkStart w:id="1" w:name="OLE_LINK94"/>
      <w:r w:rsidRPr="004F23A0">
        <w:rPr>
          <w:rFonts w:ascii="Arial"/>
          <w:sz w:val="18"/>
          <w:szCs w:val="18"/>
        </w:rPr>
        <w:t xml:space="preserve">, </w:t>
      </w:r>
      <w:bookmarkEnd w:id="0"/>
      <w:bookmarkEnd w:id="1"/>
      <w:r w:rsidRPr="004F23A0">
        <w:rPr>
          <w:rFonts w:ascii="Arial"/>
          <w:sz w:val="18"/>
          <w:szCs w:val="18"/>
        </w:rPr>
        <w:t>China</w:t>
      </w:r>
    </w:p>
    <w:p w:rsidR="00AE3E37" w:rsidRDefault="00AE3E37">
      <w:pPr>
        <w:pStyle w:val="a3"/>
        <w:spacing w:before="3"/>
        <w:rPr>
          <w:rFonts w:ascii="Arial"/>
          <w:sz w:val="21"/>
        </w:rPr>
      </w:pPr>
    </w:p>
    <w:p w:rsidR="00AE3E37" w:rsidRDefault="00AE3E37">
      <w:pPr>
        <w:rPr>
          <w:rFonts w:ascii="Arial"/>
          <w:sz w:val="21"/>
        </w:rPr>
      </w:pPr>
    </w:p>
    <w:p w:rsidR="00B951F9" w:rsidRDefault="00B951F9">
      <w:pPr>
        <w:rPr>
          <w:rFonts w:ascii="Arial"/>
          <w:sz w:val="21"/>
        </w:rPr>
        <w:sectPr w:rsidR="00B951F9">
          <w:headerReference w:type="default" r:id="rId7"/>
          <w:footerReference w:type="default" r:id="rId8"/>
          <w:type w:val="continuous"/>
          <w:pgSz w:w="11910" w:h="16840"/>
          <w:pgMar w:top="1740" w:right="600" w:bottom="840" w:left="620" w:header="541" w:footer="642" w:gutter="0"/>
          <w:cols w:space="720"/>
        </w:sectPr>
      </w:pPr>
    </w:p>
    <w:p w:rsidR="00FF6A30" w:rsidRPr="00FF6A30" w:rsidRDefault="00A9710C" w:rsidP="00FF6A30">
      <w:pPr>
        <w:pStyle w:val="3"/>
        <w:spacing w:before="147"/>
        <w:jc w:val="both"/>
        <w:rPr>
          <w:color w:val="BF5A14"/>
        </w:rPr>
      </w:pPr>
      <w:r>
        <w:rPr>
          <w:color w:val="BF5A14"/>
        </w:rPr>
        <w:t>Abstract</w:t>
      </w:r>
    </w:p>
    <w:p w:rsidR="006F129A" w:rsidRDefault="00A9710C" w:rsidP="00021DD2">
      <w:pPr>
        <w:pStyle w:val="a3"/>
        <w:spacing w:before="90" w:line="280" w:lineRule="auto"/>
        <w:ind w:left="100"/>
        <w:jc w:val="both"/>
      </w:pPr>
      <w:bookmarkStart w:id="2" w:name="OLE_LINK119"/>
      <w:bookmarkStart w:id="3" w:name="OLE_LINK120"/>
      <w:bookmarkStart w:id="4" w:name="OLE_LINK121"/>
      <w:r w:rsidRPr="006F129A">
        <w:rPr>
          <w:b/>
        </w:rPr>
        <w:t>Statement of the Problem:</w:t>
      </w:r>
      <w:r>
        <w:t xml:space="preserve"> </w:t>
      </w:r>
      <w:r w:rsidR="004F23A0" w:rsidRPr="004F23A0">
        <w:t xml:space="preserve">Chlorophylls are broadly distributed in green vegetables as the primary photosynthetic pigments, </w:t>
      </w:r>
      <w:r w:rsidR="00DB0C07">
        <w:rPr>
          <w:rFonts w:hint="eastAsia"/>
          <w:lang w:eastAsia="zh-CN"/>
        </w:rPr>
        <w:t>which</w:t>
      </w:r>
      <w:r w:rsidR="00DB0C07">
        <w:rPr>
          <w:lang w:eastAsia="zh-CN"/>
        </w:rPr>
        <w:t xml:space="preserve"> </w:t>
      </w:r>
      <w:r w:rsidR="004F23A0" w:rsidRPr="004F23A0">
        <w:t>exhibit a variety of pharmacological benefits</w:t>
      </w:r>
      <w:r w:rsidR="004F23A0">
        <w:t xml:space="preserve">. </w:t>
      </w:r>
      <w:r w:rsidR="006D189F" w:rsidRPr="006D189F">
        <w:t>Previous reviews indicat</w:t>
      </w:r>
      <w:r w:rsidR="00351B2F">
        <w:rPr>
          <w:rFonts w:hint="eastAsia"/>
          <w:lang w:eastAsia="zh-CN"/>
        </w:rPr>
        <w:t>ed</w:t>
      </w:r>
      <w:r w:rsidR="006D189F" w:rsidRPr="006D189F">
        <w:t xml:space="preserve"> the difference between infants and adults in the availability of some digestive enzymes, and gastric </w:t>
      </w:r>
      <w:proofErr w:type="spellStart"/>
      <w:r w:rsidR="006D189F" w:rsidRPr="006D189F">
        <w:t>pH.</w:t>
      </w:r>
      <w:proofErr w:type="spellEnd"/>
      <w:r w:rsidR="006D189F" w:rsidRPr="006D189F">
        <w:t xml:space="preserve"> Hence, it is important to study the digestibility of chlorophyll to better understand the degradation mechanism in the gastrointestinal tract in infant and adult. </w:t>
      </w:r>
      <w:r w:rsidR="00DB0C07" w:rsidRPr="00021DD2">
        <w:t>In green vegetables, chlorophylls are embedded within thylakoid membrane and are mainly present in free and bounded states</w:t>
      </w:r>
      <w:r w:rsidR="00DB0C07">
        <w:t xml:space="preserve">. </w:t>
      </w:r>
      <w:r w:rsidR="00021DD2" w:rsidRPr="00021DD2">
        <w:t xml:space="preserve">While the overall composition of </w:t>
      </w:r>
      <w:r w:rsidR="00021DD2" w:rsidRPr="00DB0C07">
        <w:rPr>
          <w:i/>
        </w:rPr>
        <w:t>spinach</w:t>
      </w:r>
      <w:r w:rsidR="00021DD2" w:rsidRPr="00021DD2">
        <w:t xml:space="preserve"> and </w:t>
      </w:r>
      <w:r w:rsidR="00021DD2" w:rsidRPr="00DB0C07">
        <w:rPr>
          <w:i/>
        </w:rPr>
        <w:t>moringa</w:t>
      </w:r>
      <w:r w:rsidR="00021DD2" w:rsidRPr="00021DD2">
        <w:t xml:space="preserve"> are similar, there are differences in the content of chlorophyll and the stability of chlorophyll-protein complex in thylakoid membrane, which may affect chlorophyll digestion characteristics and nutrition in infants and adults.</w:t>
      </w:r>
      <w:r>
        <w:t xml:space="preserve"> </w:t>
      </w:r>
      <w:bookmarkStart w:id="5" w:name="_GoBack"/>
      <w:bookmarkEnd w:id="5"/>
    </w:p>
    <w:p w:rsidR="004F23A0" w:rsidRDefault="00A9710C">
      <w:pPr>
        <w:pStyle w:val="a3"/>
        <w:spacing w:before="90" w:line="280" w:lineRule="auto"/>
        <w:ind w:left="100"/>
        <w:jc w:val="both"/>
      </w:pPr>
      <w:bookmarkStart w:id="6" w:name="OLE_LINK103"/>
      <w:bookmarkStart w:id="7" w:name="OLE_LINK104"/>
      <w:r w:rsidRPr="006F129A">
        <w:rPr>
          <w:b/>
        </w:rPr>
        <w:t>Methodolog</w:t>
      </w:r>
      <w:r w:rsidR="008756E6" w:rsidRPr="006F129A">
        <w:rPr>
          <w:b/>
        </w:rPr>
        <w:t xml:space="preserve">y &amp; Theoretical </w:t>
      </w:r>
      <w:r w:rsidR="00F53956" w:rsidRPr="006F129A">
        <w:rPr>
          <w:b/>
        </w:rPr>
        <w:t>Orientation:</w:t>
      </w:r>
      <w:r w:rsidR="00F53956">
        <w:t xml:space="preserve"> </w:t>
      </w:r>
      <w:bookmarkEnd w:id="6"/>
      <w:bookmarkEnd w:id="7"/>
      <w:r w:rsidR="00021DD2">
        <w:t>T</w:t>
      </w:r>
      <w:r w:rsidR="00021DD2" w:rsidRPr="00021DD2">
        <w:t xml:space="preserve">he objective of this study was to provide valuable information about the release of chlorophyll from chloroplast thylakoid membrane after the consumption of </w:t>
      </w:r>
      <w:r w:rsidR="00021DD2" w:rsidRPr="00BA5E98">
        <w:rPr>
          <w:i/>
        </w:rPr>
        <w:t>spinach</w:t>
      </w:r>
      <w:r w:rsidR="00021DD2" w:rsidRPr="00021DD2">
        <w:t xml:space="preserve"> and </w:t>
      </w:r>
      <w:r w:rsidR="00021DD2" w:rsidRPr="00BA5E98">
        <w:rPr>
          <w:i/>
        </w:rPr>
        <w:t>moringa</w:t>
      </w:r>
      <w:r w:rsidR="00021DD2" w:rsidRPr="00021DD2">
        <w:t xml:space="preserve"> and then to compare the impact of oil on chlorophyll in vitro infant and adult gastrointestinal digestion conditions.</w:t>
      </w:r>
    </w:p>
    <w:p w:rsidR="006F129A" w:rsidRDefault="00A9710C">
      <w:pPr>
        <w:pStyle w:val="a3"/>
        <w:spacing w:before="90" w:line="280" w:lineRule="auto"/>
        <w:ind w:left="100"/>
        <w:jc w:val="both"/>
      </w:pPr>
      <w:r w:rsidRPr="006F129A">
        <w:rPr>
          <w:b/>
        </w:rPr>
        <w:t xml:space="preserve">Findings: </w:t>
      </w:r>
      <w:r w:rsidR="00021DD2" w:rsidRPr="00021DD2">
        <w:t xml:space="preserve">The content of chlorophyll </w:t>
      </w:r>
      <w:r w:rsidR="00021DD2" w:rsidRPr="00246EFC">
        <w:rPr>
          <w:i/>
        </w:rPr>
        <w:t>a</w:t>
      </w:r>
      <w:r w:rsidR="00021DD2" w:rsidRPr="00021DD2">
        <w:t xml:space="preserve"> and </w:t>
      </w:r>
      <w:r w:rsidR="00021DD2" w:rsidRPr="00246EFC">
        <w:rPr>
          <w:i/>
        </w:rPr>
        <w:t>b</w:t>
      </w:r>
      <w:r w:rsidR="00021DD2" w:rsidRPr="00021DD2">
        <w:t xml:space="preserve"> significantly decreased under the infant and adult gastrointestinal digestion compared to the control (</w:t>
      </w:r>
      <w:r w:rsidR="00021DD2" w:rsidRPr="00246EFC">
        <w:rPr>
          <w:i/>
        </w:rPr>
        <w:t>p</w:t>
      </w:r>
      <w:r w:rsidR="00021DD2" w:rsidRPr="00021DD2">
        <w:t xml:space="preserve">&lt;0.05). Inverted fluorescent microscopy revealed that the gastrointestinal digestion weakened the auto-fluorescence of chlorophylls. Particle size determination proved that oil had a positive effect on improving the gastrointestinal digestion of chlorophylls. Absorption and fluorescence spectra further conveyed that the presence of oil was more advantageous to the digestion of chlorophylls subjected to infant and adult gastrointestinal digestion in </w:t>
      </w:r>
      <w:r w:rsidR="00021DD2" w:rsidRPr="00BA5E98">
        <w:rPr>
          <w:i/>
        </w:rPr>
        <w:t>spinach</w:t>
      </w:r>
      <w:r w:rsidR="00021DD2" w:rsidRPr="00021DD2">
        <w:t xml:space="preserve"> and </w:t>
      </w:r>
      <w:r w:rsidR="00021DD2" w:rsidRPr="00BA5E98">
        <w:rPr>
          <w:i/>
        </w:rPr>
        <w:t>moringa</w:t>
      </w:r>
      <w:r w:rsidR="00021DD2" w:rsidRPr="00021DD2">
        <w:t xml:space="preserve">, respectively. Chlorophylls were in large quantities degraded during gastrointestinal digestion, leading the formation of high content of pheophorbide </w:t>
      </w:r>
      <w:r w:rsidR="00021DD2" w:rsidRPr="00246EFC">
        <w:rPr>
          <w:i/>
        </w:rPr>
        <w:t>a</w:t>
      </w:r>
      <w:r w:rsidR="00021DD2" w:rsidRPr="00021DD2">
        <w:t>.</w:t>
      </w:r>
    </w:p>
    <w:p w:rsidR="00AE3E37" w:rsidRDefault="00A9710C">
      <w:pPr>
        <w:pStyle w:val="a3"/>
        <w:spacing w:before="90" w:line="280" w:lineRule="auto"/>
        <w:ind w:left="100"/>
        <w:jc w:val="both"/>
      </w:pPr>
      <w:r w:rsidRPr="006F129A">
        <w:rPr>
          <w:b/>
        </w:rPr>
        <w:t>Conclusion &amp; Significance:</w:t>
      </w:r>
      <w:r>
        <w:t xml:space="preserve"> </w:t>
      </w:r>
      <w:r w:rsidR="00021DD2" w:rsidRPr="00021DD2">
        <w:t xml:space="preserve">The study demonstrated that both chemical structure of chlorophyll and the nature of food matrix were decisive for the digestive </w:t>
      </w:r>
      <w:proofErr w:type="spellStart"/>
      <w:r w:rsidR="00021DD2" w:rsidRPr="00021DD2">
        <w:t>behaviour</w:t>
      </w:r>
      <w:proofErr w:type="spellEnd"/>
      <w:r w:rsidR="00021DD2" w:rsidRPr="00021DD2">
        <w:t xml:space="preserve"> of chlorophylls.</w:t>
      </w:r>
    </w:p>
    <w:bookmarkEnd w:id="2"/>
    <w:bookmarkEnd w:id="3"/>
    <w:bookmarkEnd w:id="4"/>
    <w:p w:rsidR="00AE3E37" w:rsidRDefault="00A9710C">
      <w:pPr>
        <w:pStyle w:val="3"/>
        <w:spacing w:before="74"/>
      </w:pPr>
      <w:r>
        <w:rPr>
          <w:b w:val="0"/>
        </w:rPr>
        <w:br w:type="column"/>
      </w:r>
      <w:r>
        <w:rPr>
          <w:color w:val="BF5A14"/>
        </w:rPr>
        <w:t>Image</w:t>
      </w:r>
    </w:p>
    <w:p w:rsidR="00AE3E37" w:rsidRDefault="001265AF" w:rsidP="004F23A0">
      <w:pPr>
        <w:pStyle w:val="a3"/>
        <w:spacing w:before="2"/>
        <w:jc w:val="center"/>
        <w:rPr>
          <w:rFonts w:ascii="Arial"/>
          <w:b/>
          <w:sz w:val="16"/>
        </w:rPr>
      </w:pPr>
      <w:r w:rsidRPr="001265AF">
        <w:rPr>
          <w:rFonts w:hint="eastAsia"/>
          <w:noProof/>
          <w:sz w:val="24"/>
          <w:szCs w:val="24"/>
          <w:lang w:val="en-GB"/>
        </w:rPr>
        <w:pict w14:anchorId="4A28D1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6" o:spid="_x0000_i1026" type="#_x0000_t75" alt="20190426类囊体机理图" style="width:136.5pt;height:170.3pt;mso-wrap-style:square;mso-width-percent:0;mso-height-percent:0;mso-position-horizontal-relative:page;mso-position-vertical-relative:page;mso-width-percent:0;mso-height-percent:0">
            <v:fill o:detectmouseclick="t"/>
            <v:imagedata r:id="rId9" o:title="20190426类囊体机理图"/>
          </v:shape>
        </w:pict>
      </w:r>
    </w:p>
    <w:p w:rsidR="005973B9" w:rsidRDefault="005973B9" w:rsidP="005973B9">
      <w:pPr>
        <w:spacing w:line="204" w:lineRule="exact"/>
        <w:rPr>
          <w:rFonts w:ascii="Arial"/>
          <w:b/>
          <w:sz w:val="20"/>
        </w:rPr>
      </w:pPr>
      <w:r>
        <w:rPr>
          <w:rFonts w:ascii="Arial"/>
          <w:b/>
          <w:color w:val="BF5A14"/>
          <w:sz w:val="20"/>
        </w:rPr>
        <w:br/>
      </w:r>
      <w:bookmarkStart w:id="8" w:name="OLE_LINK111"/>
      <w:bookmarkStart w:id="9" w:name="OLE_LINK112"/>
      <w:r>
        <w:rPr>
          <w:rFonts w:ascii="Arial"/>
          <w:b/>
          <w:color w:val="BF5A14"/>
          <w:sz w:val="20"/>
        </w:rPr>
        <w:t>Recent Publications</w:t>
      </w:r>
      <w:bookmarkEnd w:id="8"/>
      <w:bookmarkEnd w:id="9"/>
    </w:p>
    <w:p w:rsidR="001C4F50" w:rsidRPr="003C57B6" w:rsidRDefault="001C4F50" w:rsidP="003C57B6">
      <w:pPr>
        <w:pStyle w:val="a3"/>
        <w:numPr>
          <w:ilvl w:val="0"/>
          <w:numId w:val="7"/>
        </w:numPr>
        <w:jc w:val="both"/>
        <w:rPr>
          <w:rFonts w:asciiTheme="minorHAnsi" w:hAnsiTheme="minorHAnsi" w:cstheme="minorHAnsi"/>
        </w:rPr>
      </w:pPr>
      <w:proofErr w:type="spellStart"/>
      <w:r w:rsidRPr="003C57B6">
        <w:rPr>
          <w:rFonts w:asciiTheme="minorHAnsi" w:hAnsiTheme="minorHAnsi" w:cstheme="minorHAnsi"/>
        </w:rPr>
        <w:t>Yuanyuan</w:t>
      </w:r>
      <w:proofErr w:type="spellEnd"/>
      <w:r w:rsidRPr="003C57B6">
        <w:rPr>
          <w:rFonts w:asciiTheme="minorHAnsi" w:hAnsiTheme="minorHAnsi" w:cstheme="minorHAnsi"/>
        </w:rPr>
        <w:t xml:space="preserve"> Li, Yu Cui, </w:t>
      </w:r>
      <w:proofErr w:type="spellStart"/>
      <w:r w:rsidRPr="003C57B6">
        <w:rPr>
          <w:rFonts w:asciiTheme="minorHAnsi" w:hAnsiTheme="minorHAnsi" w:cstheme="minorHAnsi"/>
        </w:rPr>
        <w:t>Xiaosong</w:t>
      </w:r>
      <w:proofErr w:type="spellEnd"/>
      <w:r w:rsidRPr="003C57B6">
        <w:rPr>
          <w:rFonts w:asciiTheme="minorHAnsi" w:hAnsiTheme="minorHAnsi" w:cstheme="minorHAnsi"/>
        </w:rPr>
        <w:t xml:space="preserve"> Hu, </w:t>
      </w:r>
      <w:proofErr w:type="spellStart"/>
      <w:r w:rsidRPr="003C57B6">
        <w:rPr>
          <w:rFonts w:asciiTheme="minorHAnsi" w:hAnsiTheme="minorHAnsi" w:cstheme="minorHAnsi"/>
        </w:rPr>
        <w:t>Xiaojun</w:t>
      </w:r>
      <w:proofErr w:type="spellEnd"/>
      <w:r w:rsidRPr="003C57B6">
        <w:rPr>
          <w:rFonts w:asciiTheme="minorHAnsi" w:hAnsiTheme="minorHAnsi" w:cstheme="minorHAnsi"/>
        </w:rPr>
        <w:t xml:space="preserve"> Liao, Yan Zhang*</w:t>
      </w:r>
      <w:r w:rsidR="0028130D">
        <w:rPr>
          <w:rFonts w:asciiTheme="minorHAnsi" w:hAnsiTheme="minorHAnsi" w:cstheme="minorHAnsi"/>
        </w:rPr>
        <w:t xml:space="preserve"> </w:t>
      </w:r>
      <w:r w:rsidRPr="003C57B6">
        <w:rPr>
          <w:rFonts w:asciiTheme="minorHAnsi" w:hAnsiTheme="minorHAnsi" w:cstheme="minorHAnsi"/>
        </w:rPr>
        <w:t xml:space="preserve">(2019) Chlorophyll </w:t>
      </w:r>
      <w:bookmarkStart w:id="10" w:name="OLE_LINK12"/>
      <w:r w:rsidRPr="003C57B6">
        <w:rPr>
          <w:rFonts w:asciiTheme="minorHAnsi" w:hAnsiTheme="minorHAnsi" w:cstheme="minorHAnsi"/>
        </w:rPr>
        <w:t>supplementation in a critical developmental window</w:t>
      </w:r>
      <w:bookmarkEnd w:id="10"/>
      <w:r w:rsidRPr="003C57B6">
        <w:rPr>
          <w:rFonts w:asciiTheme="minorHAnsi" w:hAnsiTheme="minorHAnsi" w:cstheme="minorHAnsi"/>
        </w:rPr>
        <w:t xml:space="preserve"> prevent diet-induced obesity and modulate gut microbiota in mice</w:t>
      </w:r>
      <w:r w:rsidR="00FF6A30" w:rsidRPr="003C57B6">
        <w:rPr>
          <w:rFonts w:asciiTheme="minorHAnsi" w:hAnsiTheme="minorHAnsi" w:cstheme="minorHAnsi"/>
        </w:rPr>
        <w:t xml:space="preserve">. </w:t>
      </w:r>
      <w:r w:rsidRPr="003C57B6">
        <w:rPr>
          <w:rFonts w:asciiTheme="minorHAnsi" w:hAnsiTheme="minorHAnsi" w:cstheme="minorHAnsi"/>
        </w:rPr>
        <w:t xml:space="preserve">Molecular nutrition and food research, </w:t>
      </w:r>
      <w:r w:rsidR="00497915" w:rsidRPr="003C57B6">
        <w:rPr>
          <w:rFonts w:asciiTheme="minorHAnsi" w:hAnsiTheme="minorHAnsi" w:cstheme="minorHAnsi"/>
        </w:rPr>
        <w:t>1801219</w:t>
      </w:r>
      <w:r w:rsidR="00FF6A30" w:rsidRPr="003C57B6">
        <w:rPr>
          <w:rFonts w:asciiTheme="minorHAnsi" w:eastAsia="微软雅黑" w:hAnsiTheme="minorHAnsi" w:cstheme="minorHAnsi"/>
          <w:lang w:eastAsia="zh-CN"/>
        </w:rPr>
        <w:t xml:space="preserve">, </w:t>
      </w:r>
      <w:r w:rsidR="00497915" w:rsidRPr="003C57B6">
        <w:rPr>
          <w:rFonts w:asciiTheme="minorHAnsi" w:hAnsiTheme="minorHAnsi" w:cstheme="minorHAnsi"/>
        </w:rPr>
        <w:t>1</w:t>
      </w:r>
      <w:r w:rsidR="00FF6A30" w:rsidRPr="003C57B6">
        <w:rPr>
          <w:rFonts w:asciiTheme="minorHAnsi" w:hAnsiTheme="minorHAnsi" w:cstheme="minorHAnsi"/>
        </w:rPr>
        <w:t>-</w:t>
      </w:r>
      <w:r w:rsidR="00497915" w:rsidRPr="003C57B6">
        <w:rPr>
          <w:rFonts w:asciiTheme="minorHAnsi" w:hAnsiTheme="minorHAnsi" w:cstheme="minorHAnsi"/>
        </w:rPr>
        <w:t>13</w:t>
      </w:r>
      <w:r w:rsidR="00FF6A30" w:rsidRPr="003C57B6">
        <w:rPr>
          <w:rFonts w:asciiTheme="minorHAnsi" w:hAnsiTheme="minorHAnsi" w:cstheme="minorHAnsi"/>
        </w:rPr>
        <w:t>;</w:t>
      </w:r>
      <w:r w:rsidRPr="003C57B6">
        <w:rPr>
          <w:rFonts w:asciiTheme="minorHAnsi" w:hAnsiTheme="minorHAnsi" w:cstheme="minorHAnsi"/>
        </w:rPr>
        <w:t xml:space="preserve"> </w:t>
      </w:r>
    </w:p>
    <w:p w:rsidR="001C4F50" w:rsidRPr="003C57B6" w:rsidRDefault="001C4F50" w:rsidP="003C57B6">
      <w:pPr>
        <w:pStyle w:val="a3"/>
        <w:numPr>
          <w:ilvl w:val="0"/>
          <w:numId w:val="7"/>
        </w:numPr>
        <w:jc w:val="both"/>
        <w:rPr>
          <w:rFonts w:asciiTheme="minorHAnsi" w:hAnsiTheme="minorHAnsi" w:cstheme="minorHAnsi"/>
        </w:rPr>
      </w:pPr>
      <w:proofErr w:type="spellStart"/>
      <w:r w:rsidRPr="003C57B6">
        <w:rPr>
          <w:rFonts w:asciiTheme="minorHAnsi" w:hAnsiTheme="minorHAnsi" w:cstheme="minorHAnsi"/>
        </w:rPr>
        <w:t>Yuanyuan</w:t>
      </w:r>
      <w:proofErr w:type="spellEnd"/>
      <w:r w:rsidRPr="003C57B6">
        <w:rPr>
          <w:rFonts w:asciiTheme="minorHAnsi" w:hAnsiTheme="minorHAnsi" w:cstheme="minorHAnsi"/>
        </w:rPr>
        <w:t xml:space="preserve"> Li, Yu Cui, Feng Lu, Xiao Wang, </w:t>
      </w:r>
      <w:proofErr w:type="spellStart"/>
      <w:r w:rsidRPr="003C57B6">
        <w:rPr>
          <w:rFonts w:asciiTheme="minorHAnsi" w:hAnsiTheme="minorHAnsi" w:cstheme="minorHAnsi"/>
        </w:rPr>
        <w:t>Xiaosong</w:t>
      </w:r>
      <w:proofErr w:type="spellEnd"/>
      <w:r w:rsidRPr="003C57B6">
        <w:rPr>
          <w:rFonts w:asciiTheme="minorHAnsi" w:hAnsiTheme="minorHAnsi" w:cstheme="minorHAnsi"/>
        </w:rPr>
        <w:t xml:space="preserve"> Hu, Yan Zhang*</w:t>
      </w:r>
      <w:bookmarkStart w:id="11" w:name="OLE_LINK115"/>
      <w:bookmarkStart w:id="12" w:name="OLE_LINK116"/>
      <w:r w:rsidR="0028130D">
        <w:rPr>
          <w:rFonts w:asciiTheme="minorHAnsi" w:hAnsiTheme="minorHAnsi" w:cstheme="minorHAnsi"/>
        </w:rPr>
        <w:t xml:space="preserve"> </w:t>
      </w:r>
      <w:r w:rsidRPr="003C57B6">
        <w:rPr>
          <w:rFonts w:asciiTheme="minorHAnsi" w:hAnsiTheme="minorHAnsi" w:cstheme="minorHAnsi"/>
        </w:rPr>
        <w:t xml:space="preserve">(2019) </w:t>
      </w:r>
      <w:bookmarkEnd w:id="11"/>
      <w:bookmarkEnd w:id="12"/>
      <w:r w:rsidRPr="003C57B6">
        <w:rPr>
          <w:rFonts w:asciiTheme="minorHAnsi" w:hAnsiTheme="minorHAnsi" w:cstheme="minorHAnsi"/>
        </w:rPr>
        <w:t>Beneficial effects of chlorophyll on prevention of obesity through modulation of gut microbiota in high-fat diet mice. Journal of functional foods, 60,</w:t>
      </w:r>
      <w:r w:rsidR="00FF6A30" w:rsidRPr="003C57B6">
        <w:rPr>
          <w:rFonts w:asciiTheme="minorHAnsi" w:hAnsiTheme="minorHAnsi" w:cstheme="minorHAnsi"/>
        </w:rPr>
        <w:t xml:space="preserve"> </w:t>
      </w:r>
      <w:r w:rsidRPr="003C57B6">
        <w:rPr>
          <w:rFonts w:asciiTheme="minorHAnsi" w:hAnsiTheme="minorHAnsi" w:cstheme="minorHAnsi"/>
        </w:rPr>
        <w:t xml:space="preserve">103436; </w:t>
      </w:r>
    </w:p>
    <w:p w:rsidR="001C4F50" w:rsidRPr="003C57B6" w:rsidRDefault="001C4F50" w:rsidP="003C57B6">
      <w:pPr>
        <w:pStyle w:val="a3"/>
        <w:numPr>
          <w:ilvl w:val="0"/>
          <w:numId w:val="7"/>
        </w:numPr>
        <w:jc w:val="both"/>
        <w:rPr>
          <w:rFonts w:asciiTheme="minorHAnsi" w:hAnsiTheme="minorHAnsi" w:cstheme="minorHAnsi"/>
        </w:rPr>
      </w:pPr>
      <w:proofErr w:type="spellStart"/>
      <w:r w:rsidRPr="003C57B6">
        <w:rPr>
          <w:rFonts w:asciiTheme="minorHAnsi" w:hAnsiTheme="minorHAnsi" w:cstheme="minorHAnsi"/>
        </w:rPr>
        <w:t>Yuanyuan</w:t>
      </w:r>
      <w:proofErr w:type="spellEnd"/>
      <w:r w:rsidRPr="003C57B6">
        <w:rPr>
          <w:rFonts w:asciiTheme="minorHAnsi" w:hAnsiTheme="minorHAnsi" w:cstheme="minorHAnsi"/>
        </w:rPr>
        <w:t xml:space="preserve"> Li, </w:t>
      </w:r>
      <w:proofErr w:type="spellStart"/>
      <w:r w:rsidRPr="003C57B6">
        <w:rPr>
          <w:rFonts w:asciiTheme="minorHAnsi" w:hAnsiTheme="minorHAnsi" w:cstheme="minorHAnsi"/>
        </w:rPr>
        <w:t>Haotian</w:t>
      </w:r>
      <w:proofErr w:type="spellEnd"/>
      <w:r w:rsidRPr="003C57B6">
        <w:rPr>
          <w:rFonts w:asciiTheme="minorHAnsi" w:hAnsiTheme="minorHAnsi" w:cstheme="minorHAnsi"/>
        </w:rPr>
        <w:t xml:space="preserve"> Liu, Qian Liu, </w:t>
      </w:r>
      <w:proofErr w:type="spellStart"/>
      <w:r w:rsidRPr="003C57B6">
        <w:rPr>
          <w:rFonts w:asciiTheme="minorHAnsi" w:hAnsiTheme="minorHAnsi" w:cstheme="minorHAnsi"/>
        </w:rPr>
        <w:t>Baohua</w:t>
      </w:r>
      <w:proofErr w:type="spellEnd"/>
      <w:r w:rsidRPr="003C57B6">
        <w:rPr>
          <w:rFonts w:asciiTheme="minorHAnsi" w:hAnsiTheme="minorHAnsi" w:cstheme="minorHAnsi"/>
        </w:rPr>
        <w:t xml:space="preserve"> Kong</w:t>
      </w:r>
      <w:r w:rsidRPr="003C57B6">
        <w:rPr>
          <w:rFonts w:ascii="Cambria Math" w:hAnsi="Cambria Math" w:cs="Cambria Math"/>
        </w:rPr>
        <w:t>∗</w:t>
      </w:r>
      <w:r w:rsidRPr="003C57B6">
        <w:rPr>
          <w:rFonts w:asciiTheme="minorHAnsi" w:hAnsiTheme="minorHAnsi" w:cstheme="minorHAnsi"/>
        </w:rPr>
        <w:t>,</w:t>
      </w:r>
      <w:r w:rsidR="0028130D">
        <w:rPr>
          <w:rFonts w:asciiTheme="minorHAnsi" w:hAnsiTheme="minorHAnsi" w:cstheme="minorHAnsi"/>
        </w:rPr>
        <w:t xml:space="preserve"> </w:t>
      </w:r>
      <w:proofErr w:type="spellStart"/>
      <w:r w:rsidRPr="003C57B6">
        <w:rPr>
          <w:rFonts w:asciiTheme="minorHAnsi" w:hAnsiTheme="minorHAnsi" w:cstheme="minorHAnsi"/>
        </w:rPr>
        <w:t>Xinping</w:t>
      </w:r>
      <w:proofErr w:type="spellEnd"/>
      <w:r w:rsidRPr="003C57B6">
        <w:rPr>
          <w:rFonts w:asciiTheme="minorHAnsi" w:hAnsiTheme="minorHAnsi" w:cstheme="minorHAnsi"/>
        </w:rPr>
        <w:t xml:space="preserve"> </w:t>
      </w:r>
      <w:proofErr w:type="spellStart"/>
      <w:r w:rsidRPr="003C57B6">
        <w:rPr>
          <w:rFonts w:asciiTheme="minorHAnsi" w:hAnsiTheme="minorHAnsi" w:cstheme="minorHAnsi"/>
        </w:rPr>
        <w:t>Diao</w:t>
      </w:r>
      <w:proofErr w:type="spellEnd"/>
      <w:r w:rsidRPr="003C57B6">
        <w:rPr>
          <w:rFonts w:asciiTheme="minorHAnsi" w:hAnsiTheme="minorHAnsi" w:cstheme="minorHAnsi"/>
        </w:rPr>
        <w:t>*</w:t>
      </w:r>
      <w:r w:rsidR="0028130D">
        <w:rPr>
          <w:rFonts w:asciiTheme="minorHAnsi" w:hAnsiTheme="minorHAnsi" w:cstheme="minorHAnsi"/>
        </w:rPr>
        <w:t xml:space="preserve"> </w:t>
      </w:r>
      <w:r w:rsidR="00FF6A30" w:rsidRPr="003C57B6">
        <w:rPr>
          <w:rFonts w:asciiTheme="minorHAnsi" w:hAnsiTheme="minorHAnsi" w:cstheme="minorHAnsi"/>
        </w:rPr>
        <w:t xml:space="preserve">(2019) </w:t>
      </w:r>
      <w:r w:rsidRPr="003C57B6">
        <w:rPr>
          <w:rFonts w:asciiTheme="minorHAnsi" w:hAnsiTheme="minorHAnsi" w:cstheme="minorHAnsi"/>
        </w:rPr>
        <w:t xml:space="preserve">Effects of </w:t>
      </w:r>
      <w:proofErr w:type="spellStart"/>
      <w:r w:rsidRPr="003C57B6">
        <w:rPr>
          <w:rFonts w:asciiTheme="minorHAnsi" w:hAnsiTheme="minorHAnsi" w:cstheme="minorHAnsi"/>
        </w:rPr>
        <w:t>zein</w:t>
      </w:r>
      <w:proofErr w:type="spellEnd"/>
      <w:r w:rsidRPr="003C57B6">
        <w:rPr>
          <w:rFonts w:asciiTheme="minorHAnsi" w:hAnsiTheme="minorHAnsi" w:cstheme="minorHAnsi"/>
        </w:rPr>
        <w:t xml:space="preserve"> hydrolysates coupled with sage (</w:t>
      </w:r>
      <w:r w:rsidRPr="003C57B6">
        <w:rPr>
          <w:rFonts w:asciiTheme="minorHAnsi" w:hAnsiTheme="minorHAnsi" w:cstheme="minorHAnsi"/>
          <w:i/>
        </w:rPr>
        <w:t>salvia officinalis</w:t>
      </w:r>
      <w:r w:rsidRPr="003C57B6">
        <w:rPr>
          <w:rFonts w:asciiTheme="minorHAnsi" w:hAnsiTheme="minorHAnsi" w:cstheme="minorHAnsi"/>
        </w:rPr>
        <w:t>) extract on the emulsifying and oxidative stability of myofibrillar protein prepared oil in-water emulsions. Food Hydrocolloids, 87</w:t>
      </w:r>
      <w:r w:rsidR="00FF6A30" w:rsidRPr="003C57B6">
        <w:rPr>
          <w:rFonts w:asciiTheme="minorHAnsi" w:hAnsiTheme="minorHAnsi" w:cstheme="minorHAnsi"/>
        </w:rPr>
        <w:t xml:space="preserve">, </w:t>
      </w:r>
      <w:r w:rsidRPr="003C57B6">
        <w:rPr>
          <w:rFonts w:asciiTheme="minorHAnsi" w:hAnsiTheme="minorHAnsi" w:cstheme="minorHAnsi"/>
        </w:rPr>
        <w:t xml:space="preserve">149-157; </w:t>
      </w:r>
    </w:p>
    <w:p w:rsidR="001C4F50" w:rsidRPr="003C57B6" w:rsidRDefault="001C4F50" w:rsidP="003C57B6">
      <w:pPr>
        <w:pStyle w:val="a3"/>
        <w:numPr>
          <w:ilvl w:val="0"/>
          <w:numId w:val="7"/>
        </w:numPr>
        <w:jc w:val="both"/>
        <w:rPr>
          <w:rFonts w:asciiTheme="minorHAnsi" w:hAnsiTheme="minorHAnsi" w:cstheme="minorHAnsi"/>
        </w:rPr>
      </w:pPr>
      <w:proofErr w:type="spellStart"/>
      <w:r w:rsidRPr="003C57B6">
        <w:rPr>
          <w:rFonts w:asciiTheme="minorHAnsi" w:hAnsiTheme="minorHAnsi" w:cstheme="minorHAnsi"/>
        </w:rPr>
        <w:t>Yuanyuan</w:t>
      </w:r>
      <w:proofErr w:type="spellEnd"/>
      <w:r w:rsidRPr="003C57B6">
        <w:rPr>
          <w:rFonts w:asciiTheme="minorHAnsi" w:hAnsiTheme="minorHAnsi" w:cstheme="minorHAnsi"/>
        </w:rPr>
        <w:t xml:space="preserve"> Li, </w:t>
      </w:r>
      <w:proofErr w:type="spellStart"/>
      <w:r w:rsidRPr="003C57B6">
        <w:rPr>
          <w:rFonts w:asciiTheme="minorHAnsi" w:hAnsiTheme="minorHAnsi" w:cstheme="minorHAnsi"/>
        </w:rPr>
        <w:t>Haotian</w:t>
      </w:r>
      <w:proofErr w:type="spellEnd"/>
      <w:r w:rsidRPr="003C57B6">
        <w:rPr>
          <w:rFonts w:asciiTheme="minorHAnsi" w:hAnsiTheme="minorHAnsi" w:cstheme="minorHAnsi"/>
        </w:rPr>
        <w:t xml:space="preserve"> Liu, Qi Han, </w:t>
      </w:r>
      <w:proofErr w:type="spellStart"/>
      <w:r w:rsidRPr="003C57B6">
        <w:rPr>
          <w:rFonts w:asciiTheme="minorHAnsi" w:hAnsiTheme="minorHAnsi" w:cstheme="minorHAnsi"/>
        </w:rPr>
        <w:t>Baohua</w:t>
      </w:r>
      <w:proofErr w:type="spellEnd"/>
      <w:r w:rsidRPr="003C57B6">
        <w:rPr>
          <w:rFonts w:asciiTheme="minorHAnsi" w:hAnsiTheme="minorHAnsi" w:cstheme="minorHAnsi"/>
        </w:rPr>
        <w:t xml:space="preserve"> Kong*, Qian Liu*</w:t>
      </w:r>
      <w:r w:rsidR="0028130D">
        <w:rPr>
          <w:rFonts w:asciiTheme="minorHAnsi" w:hAnsiTheme="minorHAnsi" w:cstheme="minorHAnsi"/>
        </w:rPr>
        <w:t xml:space="preserve"> </w:t>
      </w:r>
      <w:r w:rsidR="00FF6A30" w:rsidRPr="003C57B6">
        <w:rPr>
          <w:rFonts w:asciiTheme="minorHAnsi" w:hAnsiTheme="minorHAnsi" w:cstheme="minorHAnsi"/>
        </w:rPr>
        <w:t xml:space="preserve">(2017) </w:t>
      </w:r>
      <w:r w:rsidRPr="003C57B6">
        <w:rPr>
          <w:rFonts w:asciiTheme="minorHAnsi" w:hAnsiTheme="minorHAnsi" w:cstheme="minorHAnsi"/>
        </w:rPr>
        <w:t xml:space="preserve">Cooperative antioxidative effects of </w:t>
      </w:r>
      <w:proofErr w:type="spellStart"/>
      <w:r w:rsidRPr="003C57B6">
        <w:rPr>
          <w:rFonts w:asciiTheme="minorHAnsi" w:hAnsiTheme="minorHAnsi" w:cstheme="minorHAnsi"/>
        </w:rPr>
        <w:t>zein</w:t>
      </w:r>
      <w:proofErr w:type="spellEnd"/>
      <w:r w:rsidRPr="003C57B6">
        <w:rPr>
          <w:rFonts w:asciiTheme="minorHAnsi" w:hAnsiTheme="minorHAnsi" w:cstheme="minorHAnsi"/>
        </w:rPr>
        <w:t xml:space="preserve"> hydrolysates with sage (</w:t>
      </w:r>
      <w:r w:rsidRPr="003C57B6">
        <w:rPr>
          <w:rFonts w:asciiTheme="minorHAnsi" w:hAnsiTheme="minorHAnsi" w:cstheme="minorHAnsi"/>
          <w:i/>
        </w:rPr>
        <w:t>salvia officinalis</w:t>
      </w:r>
      <w:r w:rsidRPr="003C57B6">
        <w:rPr>
          <w:rFonts w:asciiTheme="minorHAnsi" w:hAnsiTheme="minorHAnsi" w:cstheme="minorHAnsi"/>
        </w:rPr>
        <w:t>) extract in a liposome system. Food Chemistry, 222</w:t>
      </w:r>
      <w:r w:rsidR="00FF6A30" w:rsidRPr="003C57B6">
        <w:rPr>
          <w:rFonts w:asciiTheme="minorHAnsi" w:hAnsiTheme="minorHAnsi" w:cstheme="minorHAnsi"/>
        </w:rPr>
        <w:t>,</w:t>
      </w:r>
      <w:r w:rsidRPr="003C57B6">
        <w:rPr>
          <w:rFonts w:asciiTheme="minorHAnsi" w:hAnsiTheme="minorHAnsi" w:cstheme="minorHAnsi"/>
        </w:rPr>
        <w:t>74-83;</w:t>
      </w:r>
    </w:p>
    <w:p w:rsidR="001C4F50" w:rsidRPr="003C57B6" w:rsidRDefault="001C4F50" w:rsidP="003C57B6">
      <w:pPr>
        <w:pStyle w:val="a3"/>
        <w:numPr>
          <w:ilvl w:val="0"/>
          <w:numId w:val="7"/>
        </w:numPr>
        <w:jc w:val="both"/>
        <w:rPr>
          <w:rFonts w:asciiTheme="minorHAnsi" w:hAnsiTheme="minorHAnsi" w:cstheme="minorHAnsi"/>
        </w:rPr>
      </w:pPr>
      <w:proofErr w:type="spellStart"/>
      <w:r w:rsidRPr="003C57B6">
        <w:rPr>
          <w:rFonts w:asciiTheme="minorHAnsi" w:hAnsiTheme="minorHAnsi" w:cstheme="minorHAnsi"/>
        </w:rPr>
        <w:t>Yuanyuan</w:t>
      </w:r>
      <w:proofErr w:type="spellEnd"/>
      <w:r w:rsidRPr="003C57B6">
        <w:rPr>
          <w:rFonts w:asciiTheme="minorHAnsi" w:hAnsiTheme="minorHAnsi" w:cstheme="minorHAnsi"/>
        </w:rPr>
        <w:t xml:space="preserve"> Li, </w:t>
      </w:r>
      <w:proofErr w:type="spellStart"/>
      <w:r w:rsidRPr="003C57B6">
        <w:rPr>
          <w:rFonts w:asciiTheme="minorHAnsi" w:hAnsiTheme="minorHAnsi" w:cstheme="minorHAnsi"/>
        </w:rPr>
        <w:t>Baohua</w:t>
      </w:r>
      <w:proofErr w:type="spellEnd"/>
      <w:r w:rsidRPr="003C57B6">
        <w:rPr>
          <w:rFonts w:asciiTheme="minorHAnsi" w:hAnsiTheme="minorHAnsi" w:cstheme="minorHAnsi"/>
        </w:rPr>
        <w:t xml:space="preserve"> Kong*, Qian Liu, </w:t>
      </w:r>
      <w:proofErr w:type="spellStart"/>
      <w:r w:rsidRPr="003C57B6">
        <w:rPr>
          <w:rFonts w:asciiTheme="minorHAnsi" w:hAnsiTheme="minorHAnsi" w:cstheme="minorHAnsi"/>
        </w:rPr>
        <w:t>Xiufang</w:t>
      </w:r>
      <w:proofErr w:type="spellEnd"/>
      <w:r w:rsidRPr="003C57B6">
        <w:rPr>
          <w:rFonts w:asciiTheme="minorHAnsi" w:hAnsiTheme="minorHAnsi" w:cstheme="minorHAnsi"/>
        </w:rPr>
        <w:t xml:space="preserve"> Xia, </w:t>
      </w:r>
      <w:proofErr w:type="spellStart"/>
      <w:r w:rsidRPr="003C57B6">
        <w:rPr>
          <w:rFonts w:asciiTheme="minorHAnsi" w:hAnsiTheme="minorHAnsi" w:cstheme="minorHAnsi"/>
        </w:rPr>
        <w:t>Hongsheng</w:t>
      </w:r>
      <w:proofErr w:type="spellEnd"/>
      <w:r w:rsidRPr="003C57B6">
        <w:rPr>
          <w:rFonts w:asciiTheme="minorHAnsi" w:hAnsiTheme="minorHAnsi" w:cstheme="minorHAnsi"/>
        </w:rPr>
        <w:t xml:space="preserve"> Chen</w:t>
      </w:r>
      <w:r w:rsidR="00FF6A30" w:rsidRPr="003C57B6">
        <w:rPr>
          <w:rFonts w:asciiTheme="minorHAnsi" w:hAnsiTheme="minorHAnsi" w:cstheme="minorHAnsi"/>
        </w:rPr>
        <w:t xml:space="preserve"> (2017) </w:t>
      </w:r>
      <w:r w:rsidRPr="003C57B6">
        <w:rPr>
          <w:rFonts w:asciiTheme="minorHAnsi" w:hAnsiTheme="minorHAnsi" w:cstheme="minorHAnsi"/>
        </w:rPr>
        <w:t xml:space="preserve">Improve the emulsifying and oxidative stability of myofibrillar protein prepared oil-in-water emulsions by </w:t>
      </w:r>
      <w:proofErr w:type="spellStart"/>
      <w:r w:rsidRPr="003C57B6">
        <w:rPr>
          <w:rFonts w:asciiTheme="minorHAnsi" w:hAnsiTheme="minorHAnsi" w:cstheme="minorHAnsi"/>
        </w:rPr>
        <w:t>zein</w:t>
      </w:r>
      <w:proofErr w:type="spellEnd"/>
      <w:r w:rsidRPr="003C57B6">
        <w:rPr>
          <w:rFonts w:asciiTheme="minorHAnsi" w:hAnsiTheme="minorHAnsi" w:cstheme="minorHAnsi"/>
        </w:rPr>
        <w:t xml:space="preserve"> hydrolysate</w:t>
      </w:r>
      <w:r w:rsidR="00FF6A30" w:rsidRPr="003C57B6">
        <w:rPr>
          <w:rFonts w:asciiTheme="minorHAnsi" w:hAnsiTheme="minorHAnsi" w:cstheme="minorHAnsi"/>
        </w:rPr>
        <w:t>.</w:t>
      </w:r>
      <w:r w:rsidRPr="003C57B6">
        <w:rPr>
          <w:rFonts w:asciiTheme="minorHAnsi" w:hAnsiTheme="minorHAnsi" w:cstheme="minorHAnsi"/>
        </w:rPr>
        <w:t xml:space="preserve"> Process Biochemistry, 53</w:t>
      </w:r>
      <w:r w:rsidR="00FF6A30" w:rsidRPr="003C57B6">
        <w:rPr>
          <w:rFonts w:asciiTheme="minorHAnsi" w:hAnsiTheme="minorHAnsi" w:cstheme="minorHAnsi"/>
        </w:rPr>
        <w:t xml:space="preserve">, </w:t>
      </w:r>
      <w:r w:rsidRPr="003C57B6">
        <w:rPr>
          <w:rFonts w:asciiTheme="minorHAnsi" w:hAnsiTheme="minorHAnsi" w:cstheme="minorHAnsi"/>
        </w:rPr>
        <w:t>116-124</w:t>
      </w:r>
      <w:r w:rsidR="00FF6A30" w:rsidRPr="003C57B6">
        <w:rPr>
          <w:rFonts w:asciiTheme="minorHAnsi" w:hAnsiTheme="minorHAnsi" w:cstheme="minorHAnsi"/>
        </w:rPr>
        <w:t>.</w:t>
      </w:r>
    </w:p>
    <w:p w:rsidR="00AE3E37" w:rsidRPr="003C57B6" w:rsidRDefault="00AE3E37" w:rsidP="003C57B6">
      <w:pPr>
        <w:pStyle w:val="a3"/>
        <w:jc w:val="both"/>
        <w:rPr>
          <w:rFonts w:asciiTheme="minorHAnsi" w:hAnsiTheme="minorHAnsi" w:cstheme="minorHAnsi"/>
        </w:rPr>
        <w:sectPr w:rsidR="00AE3E37" w:rsidRPr="003C57B6">
          <w:type w:val="continuous"/>
          <w:pgSz w:w="11910" w:h="16840"/>
          <w:pgMar w:top="1740" w:right="600" w:bottom="840" w:left="620" w:header="720" w:footer="720" w:gutter="0"/>
          <w:cols w:num="2" w:space="720" w:equalWidth="0">
            <w:col w:w="5214" w:space="138"/>
            <w:col w:w="5338"/>
          </w:cols>
        </w:sectPr>
      </w:pPr>
    </w:p>
    <w:p w:rsidR="00AE3E37" w:rsidRPr="003C57B6" w:rsidRDefault="00AE3E37" w:rsidP="003C57B6">
      <w:pPr>
        <w:pStyle w:val="a3"/>
        <w:jc w:val="both"/>
        <w:rPr>
          <w:rFonts w:asciiTheme="minorHAnsi" w:hAnsiTheme="minorHAnsi" w:cstheme="minorHAnsi"/>
        </w:rPr>
      </w:pPr>
    </w:p>
    <w:p w:rsidR="00AE3E37" w:rsidRDefault="001265AF">
      <w:pPr>
        <w:pStyle w:val="a3"/>
        <w:spacing w:line="40" w:lineRule="exact"/>
        <w:ind w:left="2202"/>
        <w:rPr>
          <w:rFonts w:ascii="Calibri"/>
          <w:sz w:val="4"/>
        </w:rPr>
      </w:pPr>
      <w:r>
        <w:rPr>
          <w:rFonts w:ascii="Calibri"/>
          <w:noProof/>
          <w:sz w:val="4"/>
          <w:lang w:val="en-IN" w:eastAsia="en-IN"/>
        </w:rPr>
      </w:r>
      <w:r>
        <w:rPr>
          <w:rFonts w:ascii="Calibri"/>
          <w:noProof/>
          <w:sz w:val="4"/>
          <w:lang w:val="en-IN" w:eastAsia="en-IN"/>
        </w:rPr>
        <w:pict>
          <v:group id="Group 4" o:spid="_x0000_s1027" alt="" style="width:313.05pt;height:2pt;mso-position-horizontal-relative:char;mso-position-vertical-relative:line" coordsize="6261,40">
            <v:line id="Line 5" o:spid="_x0000_s1028" alt="" style="position:absolute;visibility:visible" from="20,20" to="6241,20" o:connectortype="straight" strokecolor="#004080" strokeweight="2pt"/>
            <w10:anchorlock/>
          </v:group>
        </w:pict>
      </w:r>
    </w:p>
    <w:p w:rsidR="00AE3E37" w:rsidRDefault="000D72D3" w:rsidP="00404E5B">
      <w:pPr>
        <w:spacing w:before="92"/>
        <w:ind w:right="4234"/>
        <w:rPr>
          <w:rFonts w:ascii="Arial"/>
        </w:rPr>
      </w:pPr>
      <w:r>
        <w:rPr>
          <w:rFonts w:ascii="Arial"/>
          <w:noProof/>
          <w:color w:val="BF5A14"/>
        </w:rPr>
        <w:drawing>
          <wp:inline distT="0" distB="0" distL="0" distR="0">
            <wp:extent cx="532130" cy="699516"/>
            <wp:effectExtent l="0" t="0" r="0" b="0"/>
            <wp:docPr id="6" name="图片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WechatIMG207.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5260" cy="703630"/>
                    </a:xfrm>
                    <a:prstGeom prst="rect">
                      <a:avLst/>
                    </a:prstGeom>
                  </pic:spPr>
                </pic:pic>
              </a:graphicData>
            </a:graphic>
          </wp:inline>
        </w:drawing>
      </w:r>
      <w:r>
        <w:rPr>
          <w:rFonts w:ascii="Arial"/>
          <w:color w:val="BF5A14"/>
        </w:rPr>
        <w:t xml:space="preserve"> </w:t>
      </w:r>
      <w:r w:rsidR="00A9710C">
        <w:rPr>
          <w:rFonts w:ascii="Arial"/>
          <w:color w:val="BF5A14"/>
        </w:rPr>
        <w:t>Biography</w:t>
      </w:r>
      <w:r w:rsidR="00404E5B">
        <w:rPr>
          <w:rFonts w:ascii="Arial"/>
          <w:color w:val="BF5A14"/>
        </w:rPr>
        <w:t xml:space="preserve"> </w:t>
      </w:r>
    </w:p>
    <w:p w:rsidR="00B951F9" w:rsidRPr="00217C12" w:rsidRDefault="000D72D3" w:rsidP="00217C12">
      <w:pPr>
        <w:autoSpaceDE w:val="0"/>
        <w:autoSpaceDN w:val="0"/>
        <w:adjustRightInd w:val="0"/>
        <w:rPr>
          <w:rFonts w:ascii="Calibri" w:hAnsi="Calibri"/>
          <w:sz w:val="18"/>
          <w:szCs w:val="18"/>
        </w:rPr>
      </w:pPr>
      <w:proofErr w:type="spellStart"/>
      <w:r w:rsidRPr="00B951F9">
        <w:rPr>
          <w:rFonts w:ascii="Arial" w:hint="eastAsia"/>
          <w:sz w:val="14"/>
        </w:rPr>
        <w:t>Yuanyuan</w:t>
      </w:r>
      <w:proofErr w:type="spellEnd"/>
      <w:r w:rsidRPr="00B951F9">
        <w:rPr>
          <w:rFonts w:ascii="Arial"/>
          <w:sz w:val="14"/>
        </w:rPr>
        <w:t xml:space="preserve"> Li</w:t>
      </w:r>
      <w:r w:rsidR="00246EFC" w:rsidRPr="00B951F9">
        <w:rPr>
          <w:rFonts w:ascii="Arial" w:hint="eastAsia"/>
          <w:sz w:val="14"/>
        </w:rPr>
        <w:t>,</w:t>
      </w:r>
      <w:r w:rsidR="00246EFC" w:rsidRPr="00B951F9">
        <w:rPr>
          <w:rFonts w:ascii="Arial"/>
          <w:sz w:val="14"/>
        </w:rPr>
        <w:t xml:space="preserve"> a PhD candidate of China Agricultural University, has her expertise in Processing and Storage of Agriculture Products, especially</w:t>
      </w:r>
      <w:r w:rsidR="00217C12" w:rsidRPr="00B951F9">
        <w:rPr>
          <w:rFonts w:ascii="Arial" w:hint="eastAsia"/>
          <w:sz w:val="14"/>
        </w:rPr>
        <w:t xml:space="preserve"> </w:t>
      </w:r>
      <w:r w:rsidR="00246EFC" w:rsidRPr="00B951F9">
        <w:rPr>
          <w:rFonts w:ascii="Arial"/>
          <w:sz w:val="14"/>
        </w:rPr>
        <w:t>on</w:t>
      </w:r>
      <w:r w:rsidR="00217C12" w:rsidRPr="00B951F9">
        <w:rPr>
          <w:rFonts w:ascii="Arial"/>
          <w:sz w:val="14"/>
        </w:rPr>
        <w:t xml:space="preserve"> </w:t>
      </w:r>
      <w:r w:rsidR="00246EFC" w:rsidRPr="00B951F9">
        <w:rPr>
          <w:rFonts w:ascii="Arial"/>
          <w:sz w:val="14"/>
        </w:rPr>
        <w:t xml:space="preserve">Food </w:t>
      </w:r>
      <w:r w:rsidR="00ED21BB" w:rsidRPr="00B951F9">
        <w:rPr>
          <w:rFonts w:ascii="Arial"/>
          <w:sz w:val="14"/>
        </w:rPr>
        <w:t>N</w:t>
      </w:r>
      <w:r w:rsidRPr="00B951F9">
        <w:rPr>
          <w:rFonts w:ascii="Arial"/>
          <w:sz w:val="14"/>
        </w:rPr>
        <w:t>utri</w:t>
      </w:r>
      <w:r w:rsidR="00ED21BB" w:rsidRPr="00B951F9">
        <w:rPr>
          <w:rFonts w:ascii="Arial"/>
          <w:sz w:val="14"/>
        </w:rPr>
        <w:t>tion</w:t>
      </w:r>
      <w:r w:rsidR="00246EFC" w:rsidRPr="00B951F9">
        <w:rPr>
          <w:rFonts w:ascii="Arial" w:hint="eastAsia"/>
          <w:sz w:val="14"/>
        </w:rPr>
        <w:t>,</w:t>
      </w:r>
      <w:r w:rsidR="00246EFC" w:rsidRPr="00B951F9">
        <w:rPr>
          <w:rFonts w:ascii="Arial"/>
          <w:sz w:val="14"/>
        </w:rPr>
        <w:t xml:space="preserve"> Fruit and Vegetable Processing and Preservation Technology and Theory, Fruit and Vegetable Resources Comprehensive</w:t>
      </w:r>
      <w:r w:rsidR="00217C12" w:rsidRPr="00B951F9">
        <w:rPr>
          <w:rFonts w:ascii="Arial"/>
          <w:sz w:val="14"/>
        </w:rPr>
        <w:t xml:space="preserve"> </w:t>
      </w:r>
      <w:r w:rsidR="00246EFC" w:rsidRPr="00B951F9">
        <w:rPr>
          <w:rFonts w:ascii="Arial"/>
          <w:sz w:val="14"/>
        </w:rPr>
        <w:t>Utilizatio</w:t>
      </w:r>
      <w:r w:rsidR="00246EFC" w:rsidRPr="00217C12">
        <w:rPr>
          <w:rFonts w:ascii="Calibri" w:hAnsi="Calibri"/>
          <w:sz w:val="18"/>
          <w:szCs w:val="18"/>
        </w:rPr>
        <w:t>n.</w:t>
      </w:r>
    </w:p>
    <w:p w:rsidR="00ED21BB" w:rsidRPr="00ED21BB" w:rsidRDefault="00A9710C" w:rsidP="00ED21BB">
      <w:pPr>
        <w:spacing w:before="62"/>
        <w:ind w:left="4217" w:right="4235"/>
        <w:jc w:val="center"/>
        <w:rPr>
          <w:rFonts w:ascii="Arial"/>
          <w:sz w:val="14"/>
        </w:rPr>
      </w:pPr>
      <w:r>
        <w:rPr>
          <w:rFonts w:ascii="Arial"/>
          <w:sz w:val="14"/>
        </w:rPr>
        <w:t xml:space="preserve">Email: </w:t>
      </w:r>
      <w:r w:rsidR="00246EFC">
        <w:rPr>
          <w:rFonts w:ascii="Arial" w:hint="eastAsia"/>
          <w:sz w:val="14"/>
          <w:lang w:eastAsia="zh-CN"/>
        </w:rPr>
        <w:t>liyuanyuan</w:t>
      </w:r>
      <w:r w:rsidR="00246EFC">
        <w:rPr>
          <w:rFonts w:ascii="Arial"/>
          <w:sz w:val="14"/>
          <w:lang w:eastAsia="zh-CN"/>
        </w:rPr>
        <w:t>.1992@163.com</w:t>
      </w:r>
    </w:p>
    <w:p w:rsidR="00AE3E37" w:rsidRPr="00ED21BB" w:rsidRDefault="001265AF" w:rsidP="00ED21BB">
      <w:pPr>
        <w:pStyle w:val="a3"/>
        <w:spacing w:before="2"/>
        <w:rPr>
          <w:rFonts w:ascii="Arial"/>
          <w:sz w:val="19"/>
        </w:rPr>
      </w:pPr>
      <w:r>
        <w:rPr>
          <w:noProof/>
        </w:rPr>
        <w:pict w14:anchorId="261E1C56">
          <v:line id="Line 3" o:spid="_x0000_s1026" style="position:absolute;z-index:1072;visibility:visible;mso-wrap-style:square;mso-width-percent:0;mso-height-percent:0;mso-wrap-distance-left:0;mso-wrap-distance-top:0mm;mso-wrap-distance-right:0;mso-wrap-distance-bottom:0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w:r>
    </w:p>
    <w:p w:rsidR="00AE3E37" w:rsidRPr="00ED21BB" w:rsidRDefault="00A9710C" w:rsidP="00ED21BB">
      <w:pPr>
        <w:spacing w:before="39"/>
        <w:ind w:left="100"/>
        <w:rPr>
          <w:rFonts w:ascii="Minion Pro"/>
          <w:b/>
          <w:sz w:val="20"/>
        </w:rPr>
        <w:sectPr w:rsidR="00AE3E37" w:rsidRPr="00ED21BB">
          <w:type w:val="continuous"/>
          <w:pgSz w:w="11910" w:h="16840"/>
          <w:pgMar w:top="1740" w:right="600" w:bottom="840" w:left="620" w:header="720" w:footer="720" w:gutter="0"/>
          <w:cols w:space="720"/>
        </w:sectPr>
      </w:pPr>
      <w:r w:rsidRPr="00B21A57">
        <w:rPr>
          <w:rFonts w:ascii="Minion Pro"/>
          <w:b/>
          <w:sz w:val="20"/>
        </w:rPr>
        <w:t>Notes/Comment</w:t>
      </w: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65AF" w:rsidRDefault="001265AF">
      <w:r>
        <w:separator/>
      </w:r>
    </w:p>
  </w:endnote>
  <w:endnote w:type="continuationSeparator" w:id="0">
    <w:p w:rsidR="001265AF" w:rsidRDefault="00126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微软雅黑">
    <w:panose1 w:val="020B0503020204020204"/>
    <w:charset w:val="86"/>
    <w:family w:val="swiss"/>
    <w:pitch w:val="variable"/>
    <w:sig w:usb0="80000287" w:usb1="28CF3C52" w:usb2="00000016" w:usb3="00000000" w:csb0="0004001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1265AF">
    <w:pPr>
      <w:pStyle w:val="a3"/>
      <w:spacing w:line="14" w:lineRule="auto"/>
      <w:rPr>
        <w:sz w:val="20"/>
      </w:rPr>
    </w:pPr>
    <w:r>
      <w:rPr>
        <w:noProof/>
      </w:rPr>
      <w:pict w14:anchorId="28AA113E">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Pr>
        <w:noProof/>
      </w:rPr>
      <w:pict w14:anchorId="6C92D0BF">
        <v:shape id="Text Box 2" o:spid="_x0000_s205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rPr>
      <w:pict w14:anchorId="7D0FC456">
        <v:shape id="Text Box 1" o:spid="_x0000_s204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65AF" w:rsidRDefault="001265AF">
      <w:r>
        <w:separator/>
      </w:r>
    </w:p>
  </w:footnote>
  <w:footnote w:type="continuationSeparator" w:id="0">
    <w:p w:rsidR="001265AF" w:rsidRDefault="001265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1265AF">
    <w:pPr>
      <w:pStyle w:val="a3"/>
      <w:spacing w:line="14" w:lineRule="auto"/>
      <w:rPr>
        <w:sz w:val="20"/>
      </w:rPr>
    </w:pPr>
    <w:r>
      <w:rPr>
        <w:noProof/>
      </w:rPr>
      <w:pict w14:anchorId="522CD21A">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Pr>
        <w:noProof/>
      </w:rPr>
      <w:pict w14:anchorId="7FA18B8E">
        <v:shape id="Text Box 4" o:spid="_x0000_s2052"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13601"/>
    <w:multiLevelType w:val="hybridMultilevel"/>
    <w:tmpl w:val="E508E27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0CF3C61"/>
    <w:multiLevelType w:val="hybridMultilevel"/>
    <w:tmpl w:val="22E64EC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390246C5"/>
    <w:multiLevelType w:val="multilevel"/>
    <w:tmpl w:val="390246C5"/>
    <w:lvl w:ilvl="0">
      <w:start w:val="1"/>
      <w:numFmt w:val="decimal"/>
      <w:lvlText w:val="（%1）"/>
      <w:lvlJc w:val="left"/>
      <w:pPr>
        <w:ind w:left="300" w:hanging="720"/>
      </w:pPr>
      <w:rPr>
        <w:rFonts w:hint="default"/>
        <w:color w:val="auto"/>
      </w:rPr>
    </w:lvl>
    <w:lvl w:ilvl="1">
      <w:start w:val="1"/>
      <w:numFmt w:val="lowerLetter"/>
      <w:lvlText w:val="%2)"/>
      <w:lvlJc w:val="left"/>
      <w:pPr>
        <w:ind w:left="420" w:hanging="420"/>
      </w:pPr>
    </w:lvl>
    <w:lvl w:ilvl="2">
      <w:start w:val="1"/>
      <w:numFmt w:val="lowerRoman"/>
      <w:lvlText w:val="%3."/>
      <w:lvlJc w:val="right"/>
      <w:pPr>
        <w:ind w:left="840" w:hanging="420"/>
      </w:pPr>
    </w:lvl>
    <w:lvl w:ilvl="3">
      <w:start w:val="1"/>
      <w:numFmt w:val="decimal"/>
      <w:lvlText w:val="%4."/>
      <w:lvlJc w:val="left"/>
      <w:pPr>
        <w:ind w:left="1260" w:hanging="420"/>
      </w:pPr>
    </w:lvl>
    <w:lvl w:ilvl="4">
      <w:start w:val="1"/>
      <w:numFmt w:val="lowerLetter"/>
      <w:lvlText w:val="%5)"/>
      <w:lvlJc w:val="left"/>
      <w:pPr>
        <w:ind w:left="1680" w:hanging="420"/>
      </w:pPr>
    </w:lvl>
    <w:lvl w:ilvl="5">
      <w:start w:val="1"/>
      <w:numFmt w:val="lowerRoman"/>
      <w:lvlText w:val="%6."/>
      <w:lvlJc w:val="right"/>
      <w:pPr>
        <w:ind w:left="2100" w:hanging="420"/>
      </w:pPr>
    </w:lvl>
    <w:lvl w:ilvl="6">
      <w:start w:val="1"/>
      <w:numFmt w:val="decimal"/>
      <w:lvlText w:val="%7."/>
      <w:lvlJc w:val="left"/>
      <w:pPr>
        <w:ind w:left="2520" w:hanging="420"/>
      </w:pPr>
    </w:lvl>
    <w:lvl w:ilvl="7">
      <w:start w:val="1"/>
      <w:numFmt w:val="lowerLetter"/>
      <w:lvlText w:val="%8)"/>
      <w:lvlJc w:val="left"/>
      <w:pPr>
        <w:ind w:left="2940" w:hanging="420"/>
      </w:pPr>
    </w:lvl>
    <w:lvl w:ilvl="8">
      <w:start w:val="1"/>
      <w:numFmt w:val="lowerRoman"/>
      <w:lvlText w:val="%9."/>
      <w:lvlJc w:val="right"/>
      <w:pPr>
        <w:ind w:left="3360" w:hanging="420"/>
      </w:pPr>
    </w:lvl>
  </w:abstractNum>
  <w:abstractNum w:abstractNumId="4" w15:restartNumberingAfterBreak="0">
    <w:nsid w:val="3F0D27E8"/>
    <w:multiLevelType w:val="hybridMultilevel"/>
    <w:tmpl w:val="78C8F00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5"/>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0MLQwNjUxNDMwMDIAAiUdpeDU4uLM/DyQAsNaAD1zKjEsAAAA"/>
  </w:docVars>
  <w:rsids>
    <w:rsidRoot w:val="00AE3E37"/>
    <w:rsid w:val="00021DD2"/>
    <w:rsid w:val="000D72D3"/>
    <w:rsid w:val="000E2911"/>
    <w:rsid w:val="001220F1"/>
    <w:rsid w:val="001234AD"/>
    <w:rsid w:val="001263DF"/>
    <w:rsid w:val="001265AF"/>
    <w:rsid w:val="001C4F50"/>
    <w:rsid w:val="00217C12"/>
    <w:rsid w:val="00244AFC"/>
    <w:rsid w:val="00246EFC"/>
    <w:rsid w:val="0027534B"/>
    <w:rsid w:val="0028130D"/>
    <w:rsid w:val="00292ED9"/>
    <w:rsid w:val="00351B2F"/>
    <w:rsid w:val="00362333"/>
    <w:rsid w:val="003C57B6"/>
    <w:rsid w:val="003F4DA0"/>
    <w:rsid w:val="00404E5B"/>
    <w:rsid w:val="00414F7B"/>
    <w:rsid w:val="0042758D"/>
    <w:rsid w:val="004355DC"/>
    <w:rsid w:val="004749B4"/>
    <w:rsid w:val="00494130"/>
    <w:rsid w:val="00497915"/>
    <w:rsid w:val="004F23A0"/>
    <w:rsid w:val="004F3523"/>
    <w:rsid w:val="00563CC0"/>
    <w:rsid w:val="005973B9"/>
    <w:rsid w:val="005B3A56"/>
    <w:rsid w:val="005B73FA"/>
    <w:rsid w:val="006060CE"/>
    <w:rsid w:val="0063497F"/>
    <w:rsid w:val="006D189F"/>
    <w:rsid w:val="006F129A"/>
    <w:rsid w:val="0070045E"/>
    <w:rsid w:val="007863B4"/>
    <w:rsid w:val="007E2F3A"/>
    <w:rsid w:val="007F539F"/>
    <w:rsid w:val="00873DF0"/>
    <w:rsid w:val="008756E6"/>
    <w:rsid w:val="00972752"/>
    <w:rsid w:val="009B2D44"/>
    <w:rsid w:val="00A07E82"/>
    <w:rsid w:val="00A7200A"/>
    <w:rsid w:val="00A86EC9"/>
    <w:rsid w:val="00A9710C"/>
    <w:rsid w:val="00AB3CBB"/>
    <w:rsid w:val="00AE3E37"/>
    <w:rsid w:val="00B21A57"/>
    <w:rsid w:val="00B73F8B"/>
    <w:rsid w:val="00B951F9"/>
    <w:rsid w:val="00BA5E98"/>
    <w:rsid w:val="00C2462D"/>
    <w:rsid w:val="00C33602"/>
    <w:rsid w:val="00CD6F55"/>
    <w:rsid w:val="00D435F6"/>
    <w:rsid w:val="00DB0C07"/>
    <w:rsid w:val="00DE3104"/>
    <w:rsid w:val="00E4145A"/>
    <w:rsid w:val="00EB346F"/>
    <w:rsid w:val="00EC7B82"/>
    <w:rsid w:val="00ED21BB"/>
    <w:rsid w:val="00F53956"/>
    <w:rsid w:val="00F72EEA"/>
    <w:rsid w:val="00F84CAE"/>
    <w:rsid w:val="00FF6A30"/>
  </w:rsids>
  <m:mathPr>
    <m:mathFont m:val="Cambria Math"/>
    <m:brkBin m:val="before"/>
    <m:brkBinSub m:val="--"/>
    <m:smallFrac/>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1029CAE4"/>
  <w15:docId w15:val="{A528A1A4-B70B-1242-8FA0-AE7D79B41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246EFC"/>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character" w:styleId="ad">
    <w:name w:val="annotation reference"/>
    <w:basedOn w:val="a0"/>
    <w:uiPriority w:val="99"/>
    <w:semiHidden/>
    <w:unhideWhenUsed/>
    <w:rsid w:val="005B73FA"/>
    <w:rPr>
      <w:sz w:val="16"/>
      <w:szCs w:val="16"/>
    </w:rPr>
  </w:style>
  <w:style w:type="paragraph" w:styleId="ae">
    <w:name w:val="annotation text"/>
    <w:basedOn w:val="a"/>
    <w:link w:val="af"/>
    <w:uiPriority w:val="99"/>
    <w:semiHidden/>
    <w:unhideWhenUsed/>
    <w:rsid w:val="005B73FA"/>
    <w:rPr>
      <w:sz w:val="20"/>
      <w:szCs w:val="20"/>
    </w:rPr>
  </w:style>
  <w:style w:type="character" w:customStyle="1" w:styleId="af">
    <w:name w:val="批注文字 字符"/>
    <w:basedOn w:val="a0"/>
    <w:link w:val="ae"/>
    <w:uiPriority w:val="99"/>
    <w:semiHidden/>
    <w:rsid w:val="005B73FA"/>
    <w:rPr>
      <w:rFonts w:ascii="Tw Cen MT" w:eastAsia="Tw Cen MT" w:hAnsi="Tw Cen MT" w:cs="Tw Cen MT"/>
      <w:sz w:val="20"/>
      <w:szCs w:val="20"/>
    </w:rPr>
  </w:style>
  <w:style w:type="paragraph" w:styleId="af0">
    <w:name w:val="annotation subject"/>
    <w:basedOn w:val="ae"/>
    <w:next w:val="ae"/>
    <w:link w:val="af1"/>
    <w:uiPriority w:val="99"/>
    <w:semiHidden/>
    <w:unhideWhenUsed/>
    <w:rsid w:val="005B73FA"/>
    <w:rPr>
      <w:b/>
      <w:bCs/>
    </w:rPr>
  </w:style>
  <w:style w:type="character" w:customStyle="1" w:styleId="af1">
    <w:name w:val="批注主题 字符"/>
    <w:basedOn w:val="af"/>
    <w:link w:val="af0"/>
    <w:uiPriority w:val="99"/>
    <w:semiHidden/>
    <w:rsid w:val="005B73FA"/>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611</Words>
  <Characters>3487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李媛媛</cp:lastModifiedBy>
  <cp:revision>68</cp:revision>
  <dcterms:created xsi:type="dcterms:W3CDTF">2016-12-02T11:11:00Z</dcterms:created>
  <dcterms:modified xsi:type="dcterms:W3CDTF">2019-09-08T12:50:00Z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