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media/image4.jpeg" ContentType="image/jpeg"/>
  <Override PartName="/word/media/image3.png" ContentType="image/png"/>
  <Override PartName="/word/media/image2.jpeg" ContentType="image/jpeg"/>
  <Override PartName="/word/media/image1.jpeg" ContentType="image/jpe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right="0" w:hanging="0"/>
        <w:rPr>
          <w:sz w:val="36"/>
          <w:b/>
          <w:sz w:val="36"/>
          <w:b/>
          <w:szCs w:val="36"/>
          <w:bCs/>
          <w:rFonts w:ascii="Minion Pro" w:hAnsi="Minion Pro" w:eastAsia="Minion Pro" w:cs="Minion Pro"/>
          <w:color w:val="337AB7"/>
          <w:lang w:val="en-US" w:eastAsia="en-US" w:bidi="ar-SA"/>
        </w:rPr>
      </w:pPr>
      <w:r>
        <w:rPr>
          <w:rFonts w:eastAsia="Minion Pro" w:cs="Minion Pro"/>
          <w:b/>
          <w:bCs/>
          <w:color w:val="337AB7"/>
          <w:sz w:val="36"/>
          <w:szCs w:val="36"/>
        </w:rPr>
      </w:r>
      <w:r/>
    </w:p>
    <w:p>
      <w:pPr>
        <w:pStyle w:val="Normal"/>
        <w:jc w:val="right"/>
      </w:pPr>
      <w:r>
        <w:rPr/>
        <w:drawing>
          <wp:inline distT="0" distB="0" distL="0" distR="0">
            <wp:extent cx="987425" cy="981075"/>
            <wp:effectExtent l="0" t="0" r="0" b="0"/>
            <wp:docPr id="1" name="Picture"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dummy"/>
                    <pic:cNvPicPr>
                      <a:picLocks noChangeAspect="1" noChangeArrowheads="1"/>
                    </pic:cNvPicPr>
                  </pic:nvPicPr>
                  <pic:blipFill>
                    <a:blip r:embed="rId2"/>
                    <a:stretch>
                      <a:fillRect/>
                    </a:stretch>
                  </pic:blipFill>
                  <pic:spPr bwMode="auto">
                    <a:xfrm>
                      <a:off x="0" y="0"/>
                      <a:ext cx="987425" cy="981075"/>
                    </a:xfrm>
                    <a:prstGeom prst="rect">
                      <a:avLst/>
                    </a:prstGeom>
                    <a:noFill/>
                    <a:ln w="9525">
                      <a:noFill/>
                      <a:miter lim="800000"/>
                      <a:headEnd/>
                      <a:tailEnd/>
                    </a:ln>
                  </pic:spPr>
                </pic:pic>
              </a:graphicData>
            </a:graphic>
          </wp:inline>
        </w:drawing>
      </w:r>
      <w:r>
        <w:rPr>
          <w:b/>
        </w:rPr>
        <w:t xml:space="preserve"> </w:t>
      </w:r>
      <w:r>
        <w:rPr>
          <w:b/>
          <w:color w:val="FF0000"/>
          <w:u w:val="single"/>
        </w:rPr>
        <w:t>Official Photo</w:t>
      </w:r>
      <w:r>
        <w:rPr>
          <w:b/>
        </w:rPr>
        <w:tab/>
        <w:tab/>
        <w:t xml:space="preserve">    </w:t>
      </w:r>
      <w:bookmarkStart w:id="0" w:name="_GoBack"/>
      <w:bookmarkEnd w:id="0"/>
      <w:r>
        <w:rPr>
          <w:b/>
        </w:rPr>
        <w:t xml:space="preserve">                                                                                      </w:t>
        <w:drawing>
          <wp:anchor behindDoc="0" distT="0" distB="0" distL="0" distR="0" simplePos="0" locked="0" layoutInCell="1" allowOverlap="1" relativeHeight="2">
            <wp:simplePos x="0" y="0"/>
            <wp:positionH relativeFrom="column">
              <wp:posOffset>4023360</wp:posOffset>
            </wp:positionH>
            <wp:positionV relativeFrom="paragraph">
              <wp:posOffset>0</wp:posOffset>
            </wp:positionV>
            <wp:extent cx="1042035" cy="981075"/>
            <wp:effectExtent l="0" t="0" r="0" b="0"/>
            <wp:wrapNone/>
            <wp:docPr id="2"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
                    <pic:cNvPicPr>
                      <a:picLocks noChangeAspect="1" noChangeArrowheads="1"/>
                    </pic:cNvPicPr>
                  </pic:nvPicPr>
                  <pic:blipFill>
                    <a:blip r:embed="rId3"/>
                    <a:stretch>
                      <a:fillRect/>
                    </a:stretch>
                  </pic:blipFill>
                  <pic:spPr bwMode="auto">
                    <a:xfrm>
                      <a:off x="0" y="0"/>
                      <a:ext cx="1042035" cy="981075"/>
                    </a:xfrm>
                    <a:prstGeom prst="rect">
                      <a:avLst/>
                    </a:prstGeom>
                    <a:noFill/>
                    <a:ln w="9525">
                      <a:noFill/>
                      <a:miter lim="800000"/>
                      <a:headEnd/>
                      <a:tailEnd/>
                    </a:ln>
                  </pic:spPr>
                </pic:pic>
              </a:graphicData>
            </a:graphic>
          </wp:anchor>
        </w:drawing>
        <w:drawing>
          <wp:anchor behindDoc="0" distT="0" distB="0" distL="0" distR="0" simplePos="0" locked="0" layoutInCell="1" allowOverlap="1" relativeHeight="3">
            <wp:simplePos x="0" y="0"/>
            <wp:positionH relativeFrom="column">
              <wp:posOffset>3080385</wp:posOffset>
            </wp:positionH>
            <wp:positionV relativeFrom="paragraph">
              <wp:posOffset>899795</wp:posOffset>
            </wp:positionV>
            <wp:extent cx="737235" cy="737235"/>
            <wp:effectExtent l="0" t="0" r="0" b="0"/>
            <wp:wrapNone/>
            <wp:docPr id="3"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
                    <pic:cNvPicPr>
                      <a:picLocks noChangeAspect="1" noChangeArrowheads="1"/>
                    </pic:cNvPicPr>
                  </pic:nvPicPr>
                  <pic:blipFill>
                    <a:blip r:embed="rId4"/>
                    <a:stretch>
                      <a:fillRect/>
                    </a:stretch>
                  </pic:blipFill>
                  <pic:spPr bwMode="auto">
                    <a:xfrm>
                      <a:off x="0" y="0"/>
                      <a:ext cx="737235" cy="737235"/>
                    </a:xfrm>
                    <a:prstGeom prst="rect">
                      <a:avLst/>
                    </a:prstGeom>
                    <a:noFill/>
                    <a:ln w="9525">
                      <a:noFill/>
                      <a:miter lim="800000"/>
                      <a:headEnd/>
                      <a:tailEnd/>
                    </a:ln>
                  </pic:spPr>
                </pic:pic>
              </a:graphicData>
            </a:graphic>
          </wp:anchor>
        </w:drawing>
      </w:r>
      <w:r/>
    </w:p>
    <w:p>
      <w:pPr>
        <w:pStyle w:val="Normal"/>
        <w:jc w:val="right"/>
        <w:rPr>
          <w:sz w:val="22"/>
          <w:sz w:val="22"/>
          <w:szCs w:val="22"/>
          <w:rFonts w:ascii="Tw Cen MT" w:hAnsi="Tw Cen MT" w:eastAsia="Tw Cen MT" w:cs="Tw Cen MT"/>
          <w:color w:val="00000A"/>
          <w:lang w:val="en-US" w:eastAsia="en-US" w:bidi="ar-SA"/>
        </w:rPr>
      </w:pPr>
      <w:r>
        <w:rPr>
          <w:rFonts w:eastAsia="Tw Cen MT" w:cs="Tw Cen MT"/>
        </w:rPr>
      </w:r>
      <w:r/>
    </w:p>
    <w:p>
      <w:pPr>
        <w:pStyle w:val="Normal"/>
        <w:jc w:val="right"/>
        <w:rPr>
          <w:sz w:val="22"/>
          <w:sz w:val="22"/>
          <w:szCs w:val="22"/>
          <w:rFonts w:ascii="Tw Cen MT" w:hAnsi="Tw Cen MT" w:eastAsia="Tw Cen MT" w:cs="Tw Cen MT"/>
          <w:color w:val="00000A"/>
          <w:lang w:val="en-US" w:eastAsia="en-US" w:bidi="ar-SA"/>
        </w:rPr>
      </w:pPr>
      <w:r>
        <w:rPr>
          <w:rFonts w:eastAsia="Tw Cen MT" w:cs="Tw Cen MT"/>
        </w:rPr>
      </w:r>
      <w:r/>
    </w:p>
    <w:p>
      <w:pPr>
        <w:pStyle w:val="Normal"/>
        <w:jc w:val="right"/>
        <w:rPr>
          <w:u w:val="single"/>
          <w:b/>
          <w:b/>
          <w:rFonts w:ascii="Tw Cen MT" w:hAnsi="Tw Cen MT" w:eastAsia="Tw Cen MT" w:cs="Tw Cen MT"/>
          <w:color w:val="FF0000"/>
        </w:rPr>
      </w:pPr>
      <w:r>
        <w:rPr>
          <w:b/>
          <w:color w:val="FF0000"/>
          <w:u w:val="single"/>
        </w:rPr>
        <w:t>University/Organization Logo</w:t>
      </w:r>
      <w:r/>
    </w:p>
    <w:p>
      <w:pPr>
        <w:pStyle w:val="Heading1"/>
        <w:spacing w:before="170" w:after="0"/>
        <w:ind w:left="0" w:right="0" w:hanging="0"/>
      </w:pPr>
      <w:r>
        <w:rPr>
          <w:color w:val="337AB7"/>
          <w:sz w:val="32"/>
        </w:rPr>
        <w:t>Numerical investigation of Fluidic active flow control on circular cylinder in transitional regime</w:t>
      </w:r>
      <w:r/>
    </w:p>
    <w:p>
      <w:pPr>
        <w:pStyle w:val="TextBody"/>
        <w:spacing w:lineRule="exact" w:line="198" w:before="73" w:after="0"/>
        <w:ind w:left="100" w:right="5987" w:hanging="0"/>
      </w:pPr>
      <w:r>
        <w:rPr>
          <w:rFonts w:ascii="Arial" w:hAnsi="Arial"/>
        </w:rPr>
        <w:t>Wasim Sarwar, PhD student, UPC, Spain</w:t>
      </w:r>
      <w:r/>
    </w:p>
    <w:p>
      <w:pPr>
        <w:pStyle w:val="TextBody"/>
        <w:spacing w:lineRule="exact" w:line="198" w:before="73" w:after="0"/>
        <w:ind w:left="100" w:right="5987" w:hanging="0"/>
      </w:pPr>
      <w:r>
        <w:rPr>
          <w:rFonts w:ascii="Arial" w:hAnsi="Arial"/>
        </w:rPr>
        <w:t>Fernando Mellibovsky,  PhD, UPC, Spain</w:t>
      </w:r>
      <w:r/>
    </w:p>
    <w:p>
      <w:pPr>
        <w:pStyle w:val="TextBody"/>
        <w:rPr>
          <w:sz w:val="20"/>
          <w:sz w:val="20"/>
          <w:szCs w:val="18"/>
          <w:rFonts w:ascii="Arial" w:hAnsi="Arial" w:eastAsia="Tw Cen MT" w:cs="Tw Cen MT"/>
          <w:color w:val="00000A"/>
          <w:lang w:val="en-US" w:eastAsia="en-US" w:bidi="ar-SA"/>
        </w:rPr>
      </w:pPr>
      <w:r>
        <w:rPr>
          <w:rFonts w:eastAsia="Tw Cen MT" w:cs="Tw Cen MT" w:ascii="Arial" w:hAnsi="Arial"/>
          <w:sz w:val="20"/>
          <w:szCs w:val="18"/>
        </w:rPr>
      </w:r>
      <w:r/>
    </w:p>
    <w:p>
      <w:pPr>
        <w:pStyle w:val="TextBody"/>
        <w:spacing w:before="3" w:after="0"/>
        <w:rPr>
          <w:sz w:val="21"/>
          <w:sz w:val="21"/>
          <w:szCs w:val="18"/>
          <w:rFonts w:ascii="Arial" w:hAnsi="Arial" w:eastAsia="Tw Cen MT" w:cs="Tw Cen MT"/>
          <w:color w:val="00000A"/>
          <w:lang w:val="en-US" w:eastAsia="en-US" w:bidi="ar-SA"/>
        </w:rPr>
      </w:pPr>
      <w:r>
        <w:rPr>
          <w:rFonts w:eastAsia="Tw Cen MT" w:cs="Tw Cen MT" w:ascii="Arial" w:hAnsi="Arial"/>
          <w:sz w:val="21"/>
          <w:szCs w:val="18"/>
        </w:rPr>
      </w:r>
      <w:r/>
    </w:p>
    <w:p>
      <w:pPr>
        <w:sectPr>
          <w:type w:val="continuous"/>
          <w:pgSz w:w="11906" w:h="16838"/>
          <w:pgMar w:left="620" w:right="600" w:header="0" w:top="0" w:footer="0" w:bottom="699" w:gutter="0"/>
          <w:formProt w:val="false"/>
          <w:textDirection w:val="lrTb"/>
          <w:docGrid w:type="default" w:linePitch="312" w:charSpace="4294965247"/>
        </w:sectPr>
      </w:pPr>
    </w:p>
    <w:p>
      <w:pPr>
        <w:pStyle w:val="Heading3"/>
        <w:spacing w:before="147" w:after="0"/>
        <w:jc w:val="both"/>
        <w:rPr>
          <w:sz w:val="20"/>
          <w:b/>
          <w:sz w:val="20"/>
          <w:b/>
          <w:szCs w:val="20"/>
          <w:bCs/>
          <w:rFonts w:ascii="Arial" w:hAnsi="Arial" w:eastAsia="Arial" w:cs="Arial"/>
          <w:color w:val="BF5A14"/>
        </w:rPr>
      </w:pPr>
      <w:r>
        <w:rPr>
          <w:color w:val="BF5A14"/>
        </w:rPr>
        <w:t>Abstract (300 word limit)</w:t>
      </w:r>
      <w:r/>
    </w:p>
    <w:p>
      <w:pPr>
        <w:pStyle w:val="TextBody"/>
        <w:spacing w:lineRule="auto" w:line="276" w:before="90" w:after="0"/>
        <w:ind w:left="100" w:right="0" w:hanging="0"/>
        <w:jc w:val="both"/>
        <w:rPr>
          <w:sz w:val="18"/>
          <w:sz w:val="18"/>
          <w:szCs w:val="18"/>
          <w:rFonts w:ascii="Tw Cen MT" w:hAnsi="Tw Cen MT" w:eastAsia="Tw Cen MT" w:cs="Tw Cen MT"/>
          <w:color w:val="00000A"/>
          <w:lang w:val="en-US" w:eastAsia="en-US" w:bidi="ar-SA"/>
        </w:rPr>
      </w:pPr>
      <w:r>
        <w:rPr/>
        <w:t>The fluid flow past bluff bodies, even in the low to moderate  regimes, results in large unsteady wakes that are the source of high aerodynamic drag, vibration, noise etc. Most applications aim at the reduction of the drag force and vibrations to improve aerodynamic performance, while an enhancement of the wake instability can be beneficial for energy harvesting applications.</w:t>
      </w:r>
      <w:r/>
    </w:p>
    <w:p>
      <w:pPr>
        <w:pStyle w:val="TextBody"/>
        <w:spacing w:lineRule="auto" w:line="276" w:before="90" w:after="0"/>
        <w:ind w:left="100" w:right="0" w:hanging="0"/>
        <w:jc w:val="both"/>
      </w:pPr>
      <w:r>
        <w:rPr/>
        <w:t xml:space="preserve">In the present numerical study, we apply spanwise-dependent fludic actuation, both steady and time-periodic, on the flow past a circular cylinder at Reynolds number 2000. The actuation takes the form of in-phase blowing and suction from slits located at </w:t>
      </w:r>
      <w:r>
        <w:rPr>
          <w:rFonts w:eastAsia="Tw Cen MT" w:cs="Tw Cen MT" w:ascii="Cantarell" w:hAnsi="Cantarell"/>
        </w:rPr>
        <w:t>±</w:t>
      </w:r>
      <w:r>
        <w:rPr>
          <w:rFonts w:eastAsia="Tw Cen MT" w:cs="Tw Cen MT"/>
        </w:rPr>
        <w:t>90</w:t>
      </w:r>
      <w:r>
        <w:rPr>
          <w:rFonts w:eastAsia="Tw Cen MT" w:cs="Tw Cen MT" w:ascii="Cantarell" w:hAnsi="Cantarell"/>
        </w:rPr>
        <w:t>º</w:t>
      </w:r>
      <w:r>
        <w:rPr>
          <w:rFonts w:eastAsia="Tw Cen MT" w:cs="Tw Cen MT"/>
        </w:rPr>
        <w:t xml:space="preserve"> (</w:t>
      </w:r>
      <w:r>
        <w:rPr/>
        <w:t>top and bottom) with respect to the upstream stagnation point. Optimal forcing amplitude and wavelength are obtained by sweeping across the parametric space. A promising reduction in drag force, combined with the suppression of lift fluctuations, is obtained for spanwise-dependent steady actuation with appropriate actuation wavelength. Several actuation frequencies are investigated for time-dependent actuation. Lift fluctuations and drag force are found to increase significantly under actuation at frequencies close to the shear layer instability, thus indicating a potential interest for energy harvesting applications at these low Reynolds numbers.</w:t>
      </w:r>
      <w:r/>
    </w:p>
    <w:p>
      <w:pPr>
        <w:pStyle w:val="TextBody"/>
        <w:spacing w:lineRule="auto" w:line="276" w:before="90" w:after="0"/>
        <w:ind w:left="100" w:right="0" w:hanging="0"/>
        <w:jc w:val="both"/>
        <w:rPr>
          <w:sz w:val="18"/>
          <w:sz w:val="18"/>
          <w:szCs w:val="18"/>
          <w:rFonts w:ascii="Tw Cen MT" w:hAnsi="Tw Cen MT" w:eastAsia="Tw Cen MT" w:cs="Tw Cen MT"/>
          <w:color w:val="00000A"/>
          <w:lang w:val="en-US" w:eastAsia="en-US" w:bidi="ar-SA"/>
        </w:rPr>
      </w:pPr>
      <w:r>
        <w:rPr>
          <w:rFonts w:eastAsia="Tw Cen MT" w:cs="Tw Cen MT"/>
          <w:sz w:val="18"/>
          <w:szCs w:val="18"/>
        </w:rPr>
      </w:r>
      <w:r/>
    </w:p>
    <w:p>
      <w:pPr>
        <w:pStyle w:val="Heading3"/>
        <w:spacing w:before="74" w:after="0"/>
        <w:ind w:left="0" w:right="0" w:hanging="0"/>
        <w:rPr>
          <w:sz w:val="20"/>
          <w:b w:val="false"/>
          <w:sz w:val="20"/>
          <w:b w:val="false"/>
          <w:szCs w:val="20"/>
          <w:bCs/>
          <w:rFonts w:ascii="Arial" w:hAnsi="Arial" w:eastAsia="Arial" w:cs="Arial"/>
          <w:color w:val="00000A"/>
          <w:lang w:val="en-US" w:eastAsia="en-US" w:bidi="ar-SA"/>
        </w:rPr>
      </w:pPr>
      <w:r>
        <w:rPr>
          <w:rFonts w:eastAsia="Arial" w:cs="Arial"/>
          <w:b w:val="false"/>
          <w:bCs/>
          <w:sz w:val="20"/>
          <w:szCs w:val="20"/>
        </w:rPr>
      </w:r>
      <w:r/>
    </w:p>
    <w:p>
      <w:pPr>
        <w:pStyle w:val="Normal"/>
      </w:pPr>
      <w:r>
        <w:rPr>
          <w:b/>
          <w:color w:val="000000"/>
        </w:rPr>
        <w:t>Key words:</w:t>
      </w:r>
      <w:r>
        <w:rPr>
          <w:b w:val="false"/>
          <w:bCs w:val="false"/>
          <w:color w:val="000000"/>
        </w:rPr>
        <w:t xml:space="preserve"> </w:t>
      </w:r>
      <w:r>
        <w:rPr>
          <w:b w:val="false"/>
          <w:bCs w:val="false"/>
          <w:color w:val="000000"/>
          <w:sz w:val="20"/>
          <w:szCs w:val="20"/>
        </w:rPr>
        <w:t>Bluff body, Active flow control, Cylinder, Transitional regime, blowing and suction.</w:t>
      </w:r>
      <w:r/>
    </w:p>
    <w:p>
      <w:pPr>
        <w:pStyle w:val="Heading3"/>
        <w:spacing w:before="74" w:after="0"/>
        <w:rPr>
          <w:sz w:val="20"/>
          <w:b/>
          <w:sz w:val="20"/>
          <w:b/>
          <w:szCs w:val="20"/>
          <w:bCs/>
          <w:rFonts w:ascii="Arial" w:hAnsi="Arial" w:eastAsia="Arial" w:cs="Arial"/>
          <w:color w:val="BF5A14"/>
        </w:rPr>
      </w:pPr>
      <w:r>
        <w:br w:type="column"/>
      </w:r>
      <w:r>
        <w:rPr>
          <w:color w:val="BF5A14"/>
        </w:rPr>
        <w:t>Image</w:t>
      </w:r>
      <w:r/>
    </w:p>
    <w:p>
      <w:pPr>
        <w:pStyle w:val="Heading3"/>
        <w:spacing w:before="74" w:after="0"/>
        <w:rPr>
          <w:sz w:val="14"/>
          <w:b/>
          <w:sz w:val="14"/>
          <w:b/>
          <w:szCs w:val="14"/>
          <w:bCs/>
          <w:rFonts w:ascii="Arial" w:hAnsi="Arial" w:eastAsia="Arial" w:cs="Arial"/>
          <w:color w:val="00000A"/>
          <w:lang w:val="en-US" w:eastAsia="en-US" w:bidi="ar-SA"/>
        </w:rPr>
      </w:pPr>
      <w:r>
        <w:rPr>
          <w:rFonts w:eastAsia="Arial" w:cs="Arial"/>
          <w:b/>
          <w:bCs/>
          <w:sz w:val="14"/>
          <w:szCs w:val="14"/>
        </w:rPr>
        <w:drawing>
          <wp:anchor behindDoc="0" distT="0" distB="0" distL="0" distR="0" simplePos="0" locked="0" layoutInCell="1" allowOverlap="1" relativeHeight="4">
            <wp:simplePos x="0" y="0"/>
            <wp:positionH relativeFrom="column">
              <wp:align>center</wp:align>
            </wp:positionH>
            <wp:positionV relativeFrom="paragraph">
              <wp:align>top</wp:align>
            </wp:positionV>
            <wp:extent cx="2770505" cy="2075815"/>
            <wp:effectExtent l="0" t="0" r="0" b="0"/>
            <wp:wrapTopAndBottom/>
            <wp:docPr id="4"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
                    <pic:cNvPicPr>
                      <a:picLocks noChangeAspect="1" noChangeArrowheads="1"/>
                    </pic:cNvPicPr>
                  </pic:nvPicPr>
                  <pic:blipFill>
                    <a:blip r:embed="rId5"/>
                    <a:srcRect l="2743" t="10838" r="10732" b="5415"/>
                    <a:stretch>
                      <a:fillRect/>
                    </a:stretch>
                  </pic:blipFill>
                  <pic:spPr bwMode="auto">
                    <a:xfrm>
                      <a:off x="0" y="0"/>
                      <a:ext cx="2770505" cy="2075815"/>
                    </a:xfrm>
                    <a:prstGeom prst="rect">
                      <a:avLst/>
                    </a:prstGeom>
                    <a:noFill/>
                    <a:ln w="9525">
                      <a:noFill/>
                      <a:miter lim="800000"/>
                      <a:headEnd/>
                      <a:tailEnd/>
                    </a:ln>
                  </pic:spPr>
                </pic:pic>
              </a:graphicData>
            </a:graphic>
          </wp:anchor>
        </w:drawing>
      </w:r>
      <w:r/>
    </w:p>
    <w:p>
      <w:pPr>
        <w:pStyle w:val="Normal"/>
        <w:spacing w:lineRule="exact" w:line="204"/>
        <w:jc w:val="both"/>
      </w:pPr>
      <w:r>
        <w:rPr>
          <w:sz w:val="14"/>
          <w:szCs w:val="14"/>
        </w:rPr>
        <w:t xml:space="preserve">Figure 1: Spanwise-dependent steady actuation of flow past circular cylinder at Re=2000 with wavelengths </w:t>
      </w:r>
      <w:r>
        <w:rPr>
          <w:sz w:val="14"/>
          <w:szCs w:val="14"/>
        </w:rPr>
      </w:r>
      <m:oMath xmlns:m="http://schemas.openxmlformats.org/officeDocument/2006/math">
        <m:sSub>
          <m:e>
            <m:r>
              <w:rPr>
                <w:rFonts w:ascii="Cambria Math" w:hAnsi="Cambria Math"/>
              </w:rPr>
              <m:t xml:space="preserve">λ</m:t>
            </m:r>
          </m:e>
          <m:sub>
            <m:r>
              <w:rPr>
                <w:rFonts w:ascii="Cambria Math" w:hAnsi="Cambria Math"/>
              </w:rPr>
              <m:t xml:space="preserve">z</m:t>
            </m:r>
          </m:sub>
        </m:sSub>
      </m:oMath>
      <w:r>
        <w:rPr>
          <w:sz w:val="14"/>
          <w:szCs w:val="14"/>
        </w:rPr>
        <w:t>= 0.25D, 0.5D, 1D, and 2D, where D is the cylinder diameter.</w:t>
      </w:r>
      <w:r/>
    </w:p>
    <w:p>
      <w:pPr>
        <w:pStyle w:val="Normal"/>
        <w:spacing w:lineRule="exact" w:line="204"/>
      </w:pPr>
      <w:r>
        <w:rPr>
          <w:rFonts w:ascii="Arial" w:hAnsi="Arial"/>
          <w:b/>
          <w:color w:val="BF5A14"/>
          <w:sz w:val="20"/>
        </w:rPr>
        <w:t>Recent Publications (minimum 5)</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Jeon S, Choi J, Jeon WP, Choi H, Park J. Active control of flow over a sphere for drag reduction at a subcritical Reynolds number. Journal of Fluid Mechanics. 2004 Oct;517:113-29.</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Williams DR, Mansy H, Amato C. The response and symmetry properties of a cylinder wake subjected to localized surface excitation. Journal of Fluid Mechanics. 1992 Jan;234:71-96.</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Cattafesta III LN, Sheplak M. Actuators for active flow control. Annual Review of Fluid Mechanics. 2011 Jan 21;43:247-72.</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Choi H, Jeon WP, Kim J. Control of flow over a bluff body. Annu. Rev. Fluid Mech.. 2008 Jan 21;40:113-39.</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Rashidi S, Hayatdavoodi M, Esfahani JA. Vortex shedding suppression and wake control: A review. Ocean Engineering. 2016 Nov 1;126:57-80.</w:t>
      </w:r>
      <w:r/>
    </w:p>
    <w:p>
      <w:pPr>
        <w:pStyle w:val="Normal"/>
        <w:numPr>
          <w:ilvl w:val="0"/>
          <w:numId w:val="1"/>
        </w:numPr>
        <w:spacing w:lineRule="exact" w:line="204"/>
        <w:jc w:val="both"/>
        <w:rPr>
          <w:sz w:val="18"/>
          <w:sz w:val="18"/>
          <w:szCs w:val="18"/>
          <w:rFonts w:ascii="Calibri" w:hAnsi="Calibri" w:eastAsia="Tw Cen MT" w:cs="Tw Cen MT"/>
        </w:rPr>
      </w:pPr>
      <w:r>
        <w:rPr>
          <w:rFonts w:ascii="Calibri" w:hAnsi="Calibri"/>
          <w:sz w:val="18"/>
          <w:szCs w:val="18"/>
        </w:rPr>
        <w:t>Kim J, Choi H. Distributed forcing of flow over a circular cylinder. Physics of Fluids. 2005 Mar;17(3):033103.</w:t>
      </w:r>
      <w:r/>
    </w:p>
    <w:p>
      <w:pPr>
        <w:pStyle w:val="Normal"/>
        <w:tabs>
          <w:tab w:val="left" w:pos="384" w:leader="none"/>
        </w:tabs>
        <w:ind w:left="0" w:right="117" w:hanging="0"/>
        <w:rPr>
          <w:sz w:val="22"/>
          <w:sz w:val="22"/>
          <w:szCs w:val="22"/>
          <w:rFonts w:ascii="Tw Cen MT" w:hAnsi="Tw Cen MT" w:eastAsia="Tw Cen MT" w:cs="Tw Cen MT"/>
          <w:color w:val="00000A"/>
          <w:lang w:val="en-US" w:eastAsia="en-US" w:bidi="ar-SA"/>
        </w:rPr>
      </w:pPr>
      <w:r>
        <w:rPr>
          <w:rFonts w:eastAsia="Tw Cen MT" w:cs="Tw Cen MT"/>
        </w:rPr>
      </w:r>
      <w:r/>
    </w:p>
    <w:p>
      <w:pPr>
        <w:pStyle w:val="Normal"/>
        <w:spacing w:lineRule="exact" w:line="200"/>
        <w:jc w:val="both"/>
        <w:rPr>
          <w:rFonts w:ascii="Calibri" w:hAnsi="Calibri" w:eastAsia="Tw Cen MT" w:cs="Tw Cen MT"/>
        </w:rPr>
      </w:pPr>
      <w:r>
        <w:rPr>
          <w:rFonts w:ascii="Calibri" w:hAnsi="Calibri"/>
        </w:rPr>
        <w:t xml:space="preserve">   </w:t>
      </w:r>
      <w:r/>
    </w:p>
    <w:p>
      <w:pPr>
        <w:sectPr>
          <w:type w:val="continuous"/>
          <w:pgSz w:w="11906" w:h="16838"/>
          <w:pgMar w:left="620" w:right="600" w:header="0" w:top="0" w:footer="0" w:bottom="699" w:gutter="0"/>
          <w:cols w:num="2" w:equalWidth="false" w:sep="false">
            <w:col w:w="5211" w:space="138"/>
            <w:col w:w="5336"/>
          </w:cols>
          <w:formProt w:val="false"/>
          <w:textDirection w:val="lrTb"/>
          <w:docGrid w:type="default" w:linePitch="312" w:charSpace="4294965247"/>
        </w:sectPr>
        <w:pStyle w:val="TextBody"/>
        <w:spacing w:lineRule="exact" w:line="40"/>
        <w:ind w:left="2202" w:right="0" w:hanging="0"/>
      </w:pPr>
      <w:r>
        <w:rPr/>
        <mc:AlternateContent>
          <mc:Choice Requires="wpg">
            <w:drawing>
              <wp:inline distT="0" distB="0" distL="0" distR="0">
                <wp:extent cx="3977005" cy="635"/>
                <wp:effectExtent l="0" t="0" r="0" b="0"/>
                <wp:docPr id="5" name=""/>
                <a:graphic xmlns:a="http://schemas.openxmlformats.org/drawingml/2006/main">
                  <a:graphicData uri="http://schemas.microsoft.com/office/word/2010/wordprocessingGroup">
                    <wpg:wgp>
                      <wpg:cNvGrpSpPr/>
                      <wpg:grpSpPr>
                        <a:xfrm>
                          <a:off x="0" y="0"/>
                          <a:ext cx="3976200" cy="0"/>
                        </a:xfrm>
                      </wpg:grpSpPr>
                      <wps:wsp>
                        <wps:cNvSpPr/>
                        <wps:spPr>
                          <a:xfrm>
                            <a:off x="0" y="0"/>
                            <a:ext cx="3976200" cy="0"/>
                          </a:xfrm>
                          <a:prstGeom prst="line">
                            <a:avLst/>
                          </a:prstGeom>
                          <a:ln w="25560">
                            <a:solidFill>
                              <a:srgbClr val="004080"/>
                            </a:solidFill>
                            <a:round/>
                          </a:ln>
                        </wps:spPr>
                        <wps:bodyPr/>
                      </wps:wsp>
                    </wpg:wgp>
                  </a:graphicData>
                </a:graphic>
              </wp:inline>
            </w:drawing>
          </mc:Choice>
          <mc:Fallback>
            <w:pict>
              <v:group id="shape_0" style="position:absolute;margin-left:0pt;margin-top:0pt;width:313.05pt;height:0pt" coordorigin="0,0" coordsize="6261,0">
                <v:line id="shape_0" from="0,0" to="6261,0" stroked="t" style="position:absolute">
                  <v:stroke color="#004080" weight="25560" joinstyle="round" endcap="flat"/>
                  <v:fill on="false" o:detectmouseclick="t"/>
                </v:line>
              </v:group>
            </w:pict>
          </mc:Fallback>
        </mc:AlternateContent>
      </w:r>
      <w:r/>
    </w:p>
    <w:p>
      <w:pPr>
        <w:pStyle w:val="Normal"/>
        <w:spacing w:before="92" w:after="0"/>
        <w:ind w:left="0" w:right="4234" w:hanging="0"/>
      </w:pPr>
      <w:r>
        <w:rPr/>
        <w:t xml:space="preserve">              </w:t>
      </w:r>
      <w:r>
        <w:rPr>
          <w:rFonts w:ascii="Arial" w:hAnsi="Arial"/>
          <w:color w:val="BF5A14"/>
        </w:rPr>
        <w:t xml:space="preserve">Biography </w:t>
      </w:r>
      <w:r/>
    </w:p>
    <w:p>
      <w:pPr>
        <w:pStyle w:val="Normal"/>
        <w:spacing w:lineRule="exact" w:line="154" w:before="41" w:after="0"/>
        <w:ind w:left="213" w:right="231" w:hanging="0"/>
        <w:jc w:val="both"/>
      </w:pPr>
      <w:r>
        <w:rPr>
          <w:rFonts w:ascii="Arial" w:hAnsi="Arial"/>
          <w:sz w:val="14"/>
        </w:rPr>
        <w:t>Wasim Sarwar is pursuing his PhD at the Technical University of Catalonis, Department of Physics, Aerospace Engineering Division, under the supervision of Dr. Fernando Mellibovsky. His research interests include boundary layer separation, turbulent transition, active flow control, dynamical systems, bifurcation theory, etc.</w:t>
      </w:r>
      <w:r/>
    </w:p>
    <w:p>
      <w:pPr>
        <w:pStyle w:val="Normal"/>
        <w:spacing w:lineRule="exact" w:line="154" w:before="41" w:after="0"/>
        <w:ind w:left="213" w:right="231" w:hanging="0"/>
        <w:jc w:val="both"/>
        <w:rPr>
          <w:sz w:val="14"/>
          <w:sz w:val="14"/>
          <w:szCs w:val="22"/>
          <w:rFonts w:ascii="Arial" w:hAnsi="Arial" w:eastAsia="Tw Cen MT" w:cs="Tw Cen MT"/>
          <w:color w:val="00000A"/>
          <w:lang w:val="en-US" w:eastAsia="en-US" w:bidi="ar-SA"/>
        </w:rPr>
      </w:pPr>
      <w:r>
        <w:rPr>
          <w:rFonts w:eastAsia="Tw Cen MT" w:cs="Tw Cen MT" w:ascii="Arial" w:hAnsi="Arial"/>
          <w:sz w:val="14"/>
        </w:rPr>
      </w:r>
      <w:r/>
    </w:p>
    <w:p>
      <w:pPr>
        <w:pStyle w:val="Normal"/>
      </w:pPr>
      <w:r>
        <w:rPr>
          <w:b/>
          <w:lang w:val="en-NZ"/>
        </w:rPr>
        <w:t>Presenting author details</w:t>
        <w:br/>
      </w:r>
      <w:r>
        <w:rPr>
          <w:lang w:val="en-NZ"/>
        </w:rPr>
        <w:br/>
      </w:r>
      <w:r>
        <w:rPr>
          <w:color w:val="FF0000"/>
          <w:sz w:val="24"/>
          <w:szCs w:val="24"/>
        </w:rPr>
        <w:t>Full name (As per the passport): Wasim Sarwar</w:t>
      </w:r>
      <w:r/>
    </w:p>
    <w:p>
      <w:pPr>
        <w:pStyle w:val="Normal"/>
      </w:pPr>
      <w:r>
        <w:rPr>
          <w:color w:val="FF0000"/>
          <w:sz w:val="24"/>
          <w:szCs w:val="24"/>
        </w:rPr>
        <w:t>University / Industry / Organization name: Universitat Politecnica de Catalunya</w:t>
      </w:r>
      <w:r/>
    </w:p>
    <w:p>
      <w:pPr>
        <w:pStyle w:val="Normal"/>
      </w:pPr>
      <w:r>
        <w:rPr>
          <w:color w:val="FF0000"/>
          <w:sz w:val="24"/>
          <w:szCs w:val="24"/>
        </w:rPr>
        <w:t>Designation (Director/Prof/Assistant or Associate prof/Researcher/Student): Student</w:t>
      </w:r>
      <w:r/>
    </w:p>
    <w:p>
      <w:pPr>
        <w:pStyle w:val="Normal"/>
      </w:pPr>
      <w:r>
        <w:rPr>
          <w:color w:val="FF0000"/>
          <w:sz w:val="24"/>
          <w:szCs w:val="24"/>
        </w:rPr>
        <w:t>Country: Pakistan</w:t>
      </w:r>
      <w:r/>
    </w:p>
    <w:p>
      <w:pPr>
        <w:pStyle w:val="Normal"/>
      </w:pPr>
      <w:r>
        <w:rPr>
          <w:color w:val="FF0000"/>
          <w:sz w:val="24"/>
          <w:szCs w:val="24"/>
        </w:rPr>
        <w:t>Mobile number (</w:t>
      </w:r>
      <w:r>
        <w:rPr>
          <w:i/>
          <w:color w:val="FF0000"/>
          <w:sz w:val="24"/>
          <w:szCs w:val="24"/>
        </w:rPr>
        <w:t>country code – number)</w:t>
      </w:r>
      <w:r>
        <w:rPr>
          <w:color w:val="FF0000"/>
          <w:sz w:val="24"/>
          <w:szCs w:val="24"/>
        </w:rPr>
        <w:t>: +34632518246</w:t>
      </w:r>
      <w:r/>
    </w:p>
    <w:p>
      <w:pPr>
        <w:pStyle w:val="Normal"/>
      </w:pPr>
      <w:r>
        <w:rPr>
          <w:color w:val="FF0000"/>
          <w:sz w:val="24"/>
          <w:szCs w:val="24"/>
        </w:rPr>
        <w:t>Email: waseemsarwardogar121@gmail.com</w:t>
      </w:r>
      <w:r/>
    </w:p>
    <w:p>
      <w:pPr>
        <w:pStyle w:val="Normal"/>
      </w:pPr>
      <w:r>
        <w:rPr>
          <w:color w:val="FF0000"/>
          <w:sz w:val="24"/>
          <w:szCs w:val="24"/>
        </w:rPr>
        <w:t>Track number:</w:t>
      </w:r>
      <w:r>
        <w:rPr>
          <w:b/>
          <w:color w:val="FF0000"/>
          <w:sz w:val="24"/>
          <w:szCs w:val="24"/>
        </w:rPr>
        <w:t xml:space="preserve"> </w:t>
      </w:r>
      <w:r>
        <w:rPr>
          <w:rFonts w:cs="Times New Roman" w:ascii="Times New Roman" w:hAnsi="Times New Roman"/>
          <w:sz w:val="24"/>
          <w:szCs w:val="24"/>
          <w:shd w:fill="FFFF00" w:val="clear"/>
        </w:rPr>
        <w:t>https://fluid-aerodynamics.global-summit.com/abstract-submission.php</w:t>
      </w:r>
      <w:r>
        <w:rPr>
          <w:b/>
          <w:color w:val="FF0000"/>
          <w:sz w:val="24"/>
          <w:szCs w:val="24"/>
        </w:rPr>
        <w:t xml:space="preserve"> (</w:t>
      </w:r>
      <w:r>
        <w:rPr>
          <w:color w:val="FF0000"/>
          <w:sz w:val="24"/>
          <w:szCs w:val="24"/>
        </w:rPr>
        <w:t>For track number follow this link</w:t>
      </w:r>
      <w:r>
        <w:rPr>
          <w:b/>
          <w:color w:val="FF0000"/>
          <w:sz w:val="24"/>
          <w:szCs w:val="24"/>
        </w:rPr>
        <w:t>)</w:t>
        <w:br/>
      </w:r>
      <w:r>
        <w:rPr>
          <w:color w:val="FF0000"/>
          <w:sz w:val="24"/>
          <w:szCs w:val="24"/>
          <w:lang w:val="en-NZ"/>
        </w:rPr>
        <w:t>Category (Oral presentation / Poster presentation / Young researcher forum / E-poster): Oral presentation</w:t>
      </w:r>
      <w:r/>
    </w:p>
    <w:p>
      <w:pPr>
        <w:pStyle w:val="Normal"/>
      </w:pPr>
      <w:r>
        <w:rPr>
          <w:color w:val="FF0000"/>
          <w:sz w:val="24"/>
          <w:szCs w:val="24"/>
        </w:rPr>
        <w:t>Research interest: Active flow control, fluidic actuators, transitional flows, boundary layer separation</w:t>
      </w:r>
      <w:r/>
    </w:p>
    <w:p>
      <w:pPr>
        <w:pStyle w:val="Normal"/>
      </w:pPr>
      <w:r>
        <w:rPr>
          <w:sz w:val="24"/>
          <w:szCs w:val="24"/>
          <w:lang w:val="en-NZ"/>
        </w:rPr>
        <w:br/>
      </w:r>
      <w:r>
        <w:rPr>
          <w:sz w:val="14"/>
          <w:szCs w:val="24"/>
          <w:lang w:val="en-NZ"/>
        </w:rPr>
        <w:t>Your profile page URL in your department:</w:t>
      </w:r>
      <w:r/>
    </w:p>
    <w:p>
      <w:pPr>
        <w:pStyle w:val="Normal"/>
      </w:pPr>
      <w:r>
        <w:rPr>
          <w:sz w:val="14"/>
          <w:szCs w:val="24"/>
        </w:rPr>
        <w:t>Year of birth:1984</w:t>
      </w:r>
      <w:r/>
    </w:p>
    <w:p>
      <w:pPr>
        <w:pStyle w:val="Normal"/>
      </w:pPr>
      <w:r>
        <w:rPr>
          <w:sz w:val="14"/>
          <w:szCs w:val="24"/>
          <w:lang w:val="en-NZ"/>
        </w:rPr>
        <w:t>Linked In/Facebook/twitter account:</w:t>
      </w:r>
      <w:r>
        <w:rPr>
          <w:b/>
          <w:sz w:val="14"/>
          <w:szCs w:val="24"/>
          <w:lang w:val="en-NZ"/>
        </w:rPr>
        <w:t>waseemsarwar121@hotmail.com</w:t>
      </w:r>
      <w:r/>
    </w:p>
    <w:p>
      <w:pPr>
        <w:pStyle w:val="Normal"/>
        <w:rPr>
          <w:sz w:val="14"/>
          <w:b/>
          <w:sz w:val="14"/>
          <w:b/>
          <w:szCs w:val="24"/>
          <w:rFonts w:ascii="Tw Cen MT" w:hAnsi="Tw Cen MT" w:eastAsia="Tw Cen MT" w:cs="Tw Cen MT"/>
          <w:color w:val="000000"/>
          <w:lang w:val="en-US" w:eastAsia="en-US" w:bidi="ar-SA"/>
        </w:rPr>
      </w:pPr>
      <w:r>
        <w:rPr>
          <w:rFonts w:eastAsia="Tw Cen MT" w:cs="Tw Cen MT"/>
          <w:b/>
          <w:color w:val="000000"/>
          <w:sz w:val="14"/>
          <w:szCs w:val="24"/>
        </w:rPr>
      </w:r>
      <w:r/>
    </w:p>
    <w:p>
      <w:pPr>
        <w:pStyle w:val="Normal"/>
      </w:pPr>
      <w:r>
        <w:rPr>
          <w:b/>
          <w:color w:val="000000"/>
          <w:sz w:val="14"/>
          <w:szCs w:val="24"/>
        </w:rPr>
        <w:t xml:space="preserve">Note: Please fill up the </w:t>
      </w:r>
      <w:r>
        <w:rPr>
          <w:b/>
          <w:color w:val="FF0000"/>
          <w:sz w:val="14"/>
          <w:szCs w:val="24"/>
        </w:rPr>
        <w:t>Red</w:t>
      </w:r>
      <w:r>
        <w:rPr>
          <w:b/>
          <w:color w:val="000000"/>
          <w:sz w:val="14"/>
          <w:szCs w:val="24"/>
        </w:rPr>
        <w:t xml:space="preserve"> mark fields</w:t>
      </w:r>
      <w:r>
        <w:rPr>
          <w:b/>
          <w:sz w:val="14"/>
          <w:szCs w:val="24"/>
        </w:rPr>
        <w:t xml:space="preserve"> so that it would be easier for us to cite your details in the conference particulars. (</w:t>
      </w:r>
      <w:r>
        <w:rPr>
          <w:b/>
          <w:sz w:val="14"/>
          <w:szCs w:val="24"/>
          <w:u w:val="single"/>
        </w:rPr>
        <w:t>Please do not forget to fix your photo and Logo above the title</w:t>
      </w:r>
      <w:r>
        <w:rPr>
          <w:b/>
          <w:sz w:val="14"/>
          <w:szCs w:val="24"/>
        </w:rPr>
        <w:t>)</w:t>
      </w:r>
      <w:r/>
    </w:p>
    <w:sectPr>
      <w:type w:val="nextPage"/>
      <w:pgSz w:w="11906" w:h="16838"/>
      <w:pgMar w:left="620" w:right="600" w:header="0" w:top="0" w:footer="0" w:bottom="699" w:gutter="0"/>
      <w:pgNumType w:fmt="decimal"/>
      <w:formProt w:val="false"/>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Cantarell">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Cs w:val="22"/>
        <w:lang w:val="en-US" w:eastAsia="en-US" w:bidi="ar-SA"/>
      </w:rPr>
    </w:rPrDefault>
    <w:pPrDefault>
      <w:pPr/>
    </w:pPrDefault>
  </w:docDefaults>
  <w:style w:type="paragraph" w:styleId="Normal">
    <w:name w:val="Normal"/>
    <w:pPr>
      <w:widowControl/>
      <w:suppressAutoHyphens w:val="true"/>
      <w:overflowPunct w:val="false"/>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pPr>
      <w:spacing w:lineRule="exact" w:line="400" w:before="47" w:after="0"/>
      <w:ind w:left="100" w:right="0" w:hanging="0"/>
      <w:outlineLvl w:val="0"/>
    </w:pPr>
    <w:rPr>
      <w:rFonts w:ascii="Minion Pro" w:hAnsi="Minion Pro" w:eastAsia="Minion Pro" w:cs="Minion Pro"/>
      <w:b/>
      <w:bCs/>
      <w:sz w:val="36"/>
      <w:szCs w:val="36"/>
    </w:rPr>
  </w:style>
  <w:style w:type="paragraph" w:styleId="Heading2">
    <w:name w:val="Heading 2"/>
    <w:basedOn w:val="Normal"/>
    <w:pPr>
      <w:ind w:left="100" w:right="0" w:hanging="0"/>
      <w:outlineLvl w:val="1"/>
    </w:pPr>
    <w:rPr>
      <w:rFonts w:ascii="Minion Pro" w:hAnsi="Minion Pro" w:eastAsia="Minion Pro" w:cs="Minion Pro"/>
      <w:sz w:val="24"/>
      <w:szCs w:val="24"/>
    </w:rPr>
  </w:style>
  <w:style w:type="paragraph" w:styleId="Heading3">
    <w:name w:val="Heading 3"/>
    <w:basedOn w:val="Normal"/>
    <w:pPr>
      <w:ind w:left="100" w:right="0" w:hanging="0"/>
      <w:outlineLvl w:val="2"/>
    </w:pPr>
    <w:rPr>
      <w:rFonts w:ascii="Arial" w:hAnsi="Arial" w:eastAsia="Arial" w:cs="Arial"/>
      <w:b/>
      <w:bCs/>
      <w:sz w:val="20"/>
      <w:szCs w:val="20"/>
    </w:rPr>
  </w:style>
  <w:style w:type="character" w:styleId="DefaultParagraphFont">
    <w:name w:val="Default Paragraph Font"/>
    <w:rPr/>
  </w:style>
  <w:style w:type="character" w:styleId="HeaderChar">
    <w:name w:val="Header Char"/>
    <w:basedOn w:val="DefaultParagraphFont"/>
    <w:rPr>
      <w:rFonts w:ascii="Tw Cen MT" w:hAnsi="Tw Cen MT" w:eastAsia="Tw Cen MT" w:cs="Tw Cen MT"/>
    </w:rPr>
  </w:style>
  <w:style w:type="character" w:styleId="FooterChar">
    <w:name w:val="Footer Char"/>
    <w:basedOn w:val="DefaultParagraphFont"/>
    <w:rPr>
      <w:rFonts w:ascii="Tw Cen MT" w:hAnsi="Tw Cen MT" w:eastAsia="Tw Cen MT" w:cs="Tw Cen MT"/>
    </w:rPr>
  </w:style>
  <w:style w:type="character" w:styleId="BalloonTextChar">
    <w:name w:val="Balloon Text Char"/>
    <w:basedOn w:val="DefaultParagraphFont"/>
    <w:rPr>
      <w:rFonts w:ascii="Tahoma" w:hAnsi="Tahoma" w:eastAsia="Tw Cen MT" w:cs="Tahoma"/>
      <w:sz w:val="16"/>
      <w:szCs w:val="16"/>
    </w:rPr>
  </w:style>
  <w:style w:type="character" w:styleId="InternetLink">
    <w:name w:val="Internet Link"/>
    <w:basedOn w:val="DefaultParagraphFont"/>
    <w:rPr>
      <w:color w:val="0000FF"/>
      <w:u w:val="single"/>
      <w:lang w:val="zxx" w:eastAsia="zxx" w:bidi="zxx"/>
    </w:rPr>
  </w:style>
  <w:style w:type="character" w:styleId="BodyTextChar">
    <w:name w:val="Body Text Char"/>
    <w:basedOn w:val="DefaultParagraphFont"/>
    <w:rPr>
      <w:rFonts w:ascii="Tw Cen MT" w:hAnsi="Tw Cen MT" w:eastAsia="Tw Cen MT" w:cs="Tw Cen MT"/>
      <w:sz w:val="18"/>
      <w:szCs w:val="18"/>
    </w:rPr>
  </w:style>
  <w:style w:type="character" w:styleId="ListLabel1">
    <w:name w:val="ListLabel 1"/>
    <w:rPr>
      <w:rFonts w:eastAsia="Calibri" w:cs="Calibri"/>
      <w:spacing w:val="-16"/>
      <w:w w:val="100"/>
      <w:sz w:val="18"/>
      <w:szCs w:val="18"/>
    </w:rPr>
  </w:style>
  <w:style w:type="character" w:styleId="Bullets">
    <w:name w:val="Bullets"/>
    <w:rPr>
      <w:rFonts w:ascii="OpenSymbol" w:hAnsi="OpenSymbol" w:eastAsia="OpenSymbol" w:cs="OpenSymbol"/>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z w:val="18"/>
      <w:szCs w:val="18"/>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ListParagraph">
    <w:name w:val="List Paragraph"/>
    <w:basedOn w:val="Normal"/>
    <w:pPr>
      <w:spacing w:lineRule="exact" w:line="200" w:before="90" w:after="0"/>
      <w:ind w:left="383" w:right="0" w:hanging="283"/>
      <w:jc w:val="both"/>
    </w:pPr>
    <w:rPr>
      <w:rFonts w:ascii="Calibri" w:hAnsi="Calibri" w:eastAsia="Calibri" w:cs="Calibri"/>
    </w:rPr>
  </w:style>
  <w:style w:type="paragraph" w:styleId="TableParagraph">
    <w:name w:val="Table Paragraph"/>
    <w:basedOn w:val="Normal"/>
    <w:pPr/>
    <w:rPr/>
  </w:style>
  <w:style w:type="paragraph" w:styleId="Header">
    <w:name w:val="Header"/>
    <w:basedOn w:val="Normal"/>
    <w:pPr>
      <w:tabs>
        <w:tab w:val="center" w:pos="4513" w:leader="none"/>
        <w:tab w:val="right" w:pos="9026" w:leader="none"/>
      </w:tabs>
    </w:pPr>
    <w:rPr/>
  </w:style>
  <w:style w:type="paragraph" w:styleId="Footer">
    <w:name w:val="Footer"/>
    <w:basedOn w:val="Normal"/>
    <w:pPr>
      <w:tabs>
        <w:tab w:val="center" w:pos="4513" w:leader="none"/>
        <w:tab w:val="right" w:pos="9026" w:leader="none"/>
      </w:tabs>
    </w:pPr>
    <w:rPr/>
  </w:style>
  <w:style w:type="paragraph" w:styleId="BalloonText">
    <w:name w:val="Balloon Text"/>
    <w:basedOn w:val="Normal"/>
    <w:pPr/>
    <w:rPr>
      <w:rFonts w:ascii="Tahoma" w:hAnsi="Tahoma" w:cs="Tahoma"/>
      <w:sz w:val="16"/>
      <w:szCs w:val="16"/>
    </w:rPr>
  </w:style>
  <w:style w:type="paragraph" w:styleId="FrameContents">
    <w:name w:val="Frame Contents"/>
    <w:basedOn w:val="Normal"/>
    <w:pPr/>
    <w:rPr/>
  </w:style>
  <w:style w:type="paragraph" w:styleId="Quotations">
    <w:name w:val="Quotations"/>
    <w:basedOn w:val="Normal"/>
    <w:pPr/>
    <w:rPr/>
  </w:style>
  <w:style w:type="paragraph" w:styleId="Title">
    <w:name w:val="Title"/>
    <w:basedOn w:val="Heading"/>
    <w:pPr/>
    <w:rPr/>
  </w:style>
  <w:style w:type="paragraph" w:styleId="Subtitle">
    <w:name w:val="Subtitle"/>
    <w:basedOn w:val="Heading"/>
    <w:pPr/>
    <w:rPr/>
  </w:style>
  <w:style w:type="numbering" w:styleId="NoList">
    <w:name w:val="No Lis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4508</TotalTime>
  <Application>LibreOffice/4.3.3.2$Linux_X86_64 LibreOffice_project/430m0$Build-2</Application>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2018-04-02T07:01:00Z</dcterms:created>
  <dc:creator>mehaboobi shaik</dc:creator>
  <dc:language>en-US</dc:language>
  <cp:lastModifiedBy>Wasim </cp:lastModifiedBy>
  <dcterms:modified xsi:type="dcterms:W3CDTF">2018-09-25T14:17:15Z</dcterms:modified>
  <cp:revision>14</cp:revision>
</cp:coreProperties>
</file>