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hint="eastAsia"/>
          <w:sz w:val="18"/>
          <w:szCs w:val="18"/>
        </w:rPr>
      </w:pPr>
      <w:r>
        <w:rPr>
          <w:b/>
          <w:bCs/>
          <w:color w:val="000000"/>
          <w:sz w:val="21"/>
          <w:szCs w:val="21"/>
          <w:highlight w:val="none"/>
          <w:lang w:val="en-US"/>
        </w:rPr>
        <w:t>A</w:t>
      </w:r>
      <w:r>
        <w:rPr>
          <w:b/>
          <w:bCs/>
          <w:color w:val="000000"/>
          <w:sz w:val="21"/>
          <w:szCs w:val="21"/>
          <w:highlight w:val="none"/>
          <w:lang w:val="en-US"/>
        </w:rPr>
        <w:t>bstract</w:t>
      </w:r>
      <w:r>
        <w:rPr>
          <w:sz w:val="18"/>
          <w:szCs w:val="18"/>
          <w:lang w:val="en-US"/>
        </w:rPr>
        <w:t>:</w:t>
      </w:r>
      <w:r>
        <w:rPr>
          <w:sz w:val="18"/>
          <w:szCs w:val="18"/>
          <w:lang w:val="en-US"/>
        </w:rPr>
        <w:t xml:space="preserve"> </w:t>
      </w:r>
      <w:r>
        <w:rPr>
          <w:sz w:val="18"/>
          <w:szCs w:val="18"/>
        </w:rPr>
        <w:t>The development of MHD acceleration technology is expected to improve wind tunnel simulation capability and test capability. The premise of this technology is to produce uniform and stable plasma in supersonic air flow, and gas discharge is an effective way to achieve this premise</w:t>
      </w:r>
      <w:r>
        <w:rPr>
          <w:rFonts w:hint="eastAsia"/>
          <w:sz w:val="18"/>
          <w:szCs w:val="18"/>
        </w:rPr>
        <w:t>.</w:t>
      </w:r>
      <w:r>
        <w:rPr>
          <w:sz w:val="18"/>
          <w:szCs w:val="18"/>
        </w:rPr>
        <w:t xml:space="preserve"> By using a nanosecond pulsed power</w:t>
      </w:r>
      <w:r>
        <w:rPr>
          <w:rFonts w:hint="eastAsia"/>
          <w:sz w:val="18"/>
          <w:szCs w:val="18"/>
        </w:rPr>
        <w:t>,</w:t>
      </w:r>
      <w:r>
        <w:rPr>
          <w:sz w:val="18"/>
          <w:szCs w:val="18"/>
        </w:rPr>
        <w:t xml:space="preserve"> </w:t>
      </w:r>
      <w:r>
        <w:rPr>
          <w:sz w:val="18"/>
          <w:szCs w:val="18"/>
        </w:rPr>
        <w:t>pin-to-plate discharge experiment</w:t>
      </w:r>
      <w:r>
        <w:rPr>
          <w:rFonts w:hint="eastAsia"/>
          <w:sz w:val="18"/>
          <w:szCs w:val="18"/>
        </w:rPr>
        <w:t>s under</w:t>
      </w:r>
      <w:r>
        <w:rPr>
          <w:sz w:val="18"/>
          <w:szCs w:val="18"/>
        </w:rPr>
        <w:t xml:space="preserve"> </w:t>
      </w:r>
      <w:r>
        <w:rPr>
          <w:sz w:val="18"/>
          <w:szCs w:val="18"/>
        </w:rPr>
        <w:t>static</w:t>
      </w:r>
      <w:r>
        <w:rPr>
          <w:sz w:val="18"/>
          <w:szCs w:val="18"/>
        </w:rPr>
        <w:t xml:space="preserve"> conditions </w:t>
      </w:r>
      <w:r>
        <w:rPr>
          <w:rFonts w:hint="eastAsia"/>
          <w:sz w:val="18"/>
          <w:szCs w:val="18"/>
        </w:rPr>
        <w:t xml:space="preserve">and </w:t>
      </w:r>
      <w:r>
        <w:rPr>
          <w:sz w:val="18"/>
          <w:szCs w:val="18"/>
        </w:rPr>
        <w:t xml:space="preserve">Ma2 air flow </w:t>
      </w:r>
      <w:r>
        <w:rPr>
          <w:rFonts w:hint="eastAsia"/>
          <w:sz w:val="18"/>
          <w:szCs w:val="18"/>
        </w:rPr>
        <w:t xml:space="preserve">conditions </w:t>
      </w:r>
      <w:r>
        <w:rPr>
          <w:sz w:val="18"/>
          <w:szCs w:val="18"/>
        </w:rPr>
        <w:t>w</w:t>
      </w:r>
      <w:r>
        <w:rPr>
          <w:rFonts w:hint="eastAsia"/>
          <w:sz w:val="18"/>
          <w:szCs w:val="18"/>
        </w:rPr>
        <w:t>ere</w:t>
      </w:r>
      <w:r>
        <w:rPr>
          <w:sz w:val="18"/>
          <w:szCs w:val="18"/>
        </w:rPr>
        <w:t xml:space="preserve"> carried out</w:t>
      </w:r>
      <w:r>
        <w:rPr>
          <w:rFonts w:hint="eastAsia"/>
          <w:sz w:val="18"/>
          <w:szCs w:val="18"/>
        </w:rPr>
        <w:t>, respectively.</w:t>
      </w:r>
      <w:r>
        <w:rPr>
          <w:sz w:val="18"/>
          <w:szCs w:val="18"/>
        </w:rPr>
        <w:t xml:space="preserve"> </w:t>
      </w:r>
      <w:r>
        <w:rPr>
          <w:sz w:val="18"/>
          <w:szCs w:val="18"/>
        </w:rPr>
        <w:t>The results show that</w:t>
      </w:r>
      <w:r>
        <w:rPr>
          <w:rFonts w:hint="eastAsia"/>
          <w:sz w:val="18"/>
          <w:szCs w:val="18"/>
        </w:rPr>
        <w:t xml:space="preserve"> </w:t>
      </w:r>
      <w:r>
        <w:rPr>
          <w:sz w:val="18"/>
          <w:szCs w:val="18"/>
        </w:rPr>
        <w:t xml:space="preserve">the </w:t>
      </w:r>
      <w:r>
        <w:rPr>
          <w:sz w:val="18"/>
          <w:szCs w:val="18"/>
        </w:rPr>
        <w:t>interelectrode</w:t>
      </w:r>
      <w:r>
        <w:rPr>
          <w:sz w:val="18"/>
          <w:szCs w:val="18"/>
        </w:rPr>
        <w:t xml:space="preserve"> gap distance is </w:t>
      </w:r>
      <w:r>
        <w:rPr>
          <w:rFonts w:hint="eastAsia"/>
          <w:sz w:val="18"/>
          <w:szCs w:val="18"/>
        </w:rPr>
        <w:t xml:space="preserve">a </w:t>
      </w:r>
      <w:r>
        <w:rPr>
          <w:sz w:val="18"/>
          <w:szCs w:val="18"/>
        </w:rPr>
        <w:t>determined factor</w:t>
      </w:r>
      <w:r>
        <w:rPr>
          <w:rFonts w:hint="eastAsia"/>
          <w:sz w:val="18"/>
          <w:szCs w:val="18"/>
        </w:rPr>
        <w:t xml:space="preserve"> for </w:t>
      </w:r>
      <w:r>
        <w:rPr>
          <w:sz w:val="18"/>
          <w:szCs w:val="18"/>
        </w:rPr>
        <w:t>corona discharge</w:t>
      </w:r>
      <w:r>
        <w:rPr>
          <w:rFonts w:hint="eastAsia"/>
          <w:sz w:val="18"/>
          <w:szCs w:val="18"/>
        </w:rPr>
        <w:t xml:space="preserve"> under low pressure, the </w:t>
      </w:r>
      <w:r>
        <w:rPr>
          <w:rFonts w:hint="eastAsia"/>
          <w:sz w:val="18"/>
          <w:szCs w:val="18"/>
        </w:rPr>
        <w:t xml:space="preserve">transitions </w:t>
      </w:r>
      <w:r>
        <w:rPr>
          <w:rFonts w:hint="eastAsia"/>
          <w:sz w:val="18"/>
          <w:szCs w:val="18"/>
        </w:rPr>
        <w:t xml:space="preserve">between glow and </w:t>
      </w:r>
      <w:r>
        <w:rPr>
          <w:rFonts w:hint="eastAsia"/>
          <w:sz w:val="18"/>
          <w:szCs w:val="18"/>
        </w:rPr>
        <w:t>corona</w:t>
      </w:r>
      <w:r>
        <w:rPr>
          <w:rFonts w:hint="eastAsia"/>
          <w:sz w:val="18"/>
          <w:szCs w:val="18"/>
        </w:rPr>
        <w:t xml:space="preserve"> regimes</w:t>
      </w:r>
      <w:r>
        <w:rPr>
          <w:rFonts w:hint="eastAsia"/>
          <w:sz w:val="18"/>
          <w:szCs w:val="18"/>
        </w:rPr>
        <w:t xml:space="preserve"> can be re</w:t>
      </w:r>
      <w:r>
        <w:rPr>
          <w:rFonts w:hint="eastAsia"/>
          <w:sz w:val="18"/>
          <w:szCs w:val="18"/>
        </w:rPr>
        <w:t>alized by changing the pressure.</w:t>
      </w:r>
      <w:r>
        <w:rPr>
          <w:rFonts w:hint="eastAsia"/>
          <w:sz w:val="18"/>
          <w:szCs w:val="18"/>
        </w:rPr>
        <w:t xml:space="preserve"> On the other hand, </w:t>
      </w:r>
      <w:r>
        <w:rPr>
          <w:sz w:val="18"/>
          <w:szCs w:val="18"/>
        </w:rPr>
        <w:t>the discharge under supersoni</w:t>
      </w:r>
      <w:r>
        <w:rPr>
          <w:sz w:val="18"/>
          <w:szCs w:val="18"/>
        </w:rPr>
        <w:t xml:space="preserve">c conditions </w:t>
      </w:r>
      <w:r>
        <w:rPr>
          <w:rFonts w:hint="eastAsia"/>
          <w:sz w:val="18"/>
          <w:szCs w:val="18"/>
        </w:rPr>
        <w:t>was</w:t>
      </w:r>
      <w:r>
        <w:rPr>
          <w:sz w:val="18"/>
          <w:szCs w:val="18"/>
        </w:rPr>
        <w:t xml:space="preserve"> overall stable</w:t>
      </w:r>
      <w:r>
        <w:rPr>
          <w:rFonts w:hint="eastAsia"/>
          <w:sz w:val="18"/>
          <w:szCs w:val="18"/>
        </w:rPr>
        <w:t>.</w:t>
      </w:r>
      <w:r>
        <w:rPr>
          <w:sz w:val="18"/>
          <w:szCs w:val="18"/>
        </w:rPr>
        <w:t xml:space="preserve"> </w:t>
      </w:r>
      <w:r>
        <w:rPr>
          <w:sz w:val="18"/>
          <w:szCs w:val="18"/>
        </w:rPr>
        <w:t xml:space="preserve">but the uniformity </w:t>
      </w:r>
      <w:r>
        <w:rPr>
          <w:rFonts w:hint="eastAsia"/>
          <w:sz w:val="18"/>
          <w:szCs w:val="18"/>
        </w:rPr>
        <w:t xml:space="preserve">was not as good as that under </w:t>
      </w:r>
      <w:r>
        <w:rPr>
          <w:sz w:val="18"/>
          <w:szCs w:val="18"/>
        </w:rPr>
        <w:t>sta</w:t>
      </w:r>
      <w:r>
        <w:rPr>
          <w:sz w:val="18"/>
          <w:szCs w:val="18"/>
        </w:rPr>
        <w:t>tic condition</w:t>
      </w:r>
      <w:r>
        <w:rPr>
          <w:rFonts w:hint="eastAsia"/>
          <w:sz w:val="18"/>
          <w:szCs w:val="18"/>
        </w:rPr>
        <w:t>s</w:t>
      </w:r>
      <w:r>
        <w:rPr>
          <w:rFonts w:hint="eastAsia"/>
          <w:sz w:val="18"/>
          <w:szCs w:val="18"/>
        </w:rPr>
        <w:t>;</w:t>
      </w:r>
      <w:r>
        <w:rPr>
          <w:rFonts w:hint="eastAsia"/>
          <w:sz w:val="18"/>
          <w:szCs w:val="18"/>
        </w:rPr>
        <w:t xml:space="preserve"> Specifically, s</w:t>
      </w:r>
      <w:r>
        <w:rPr>
          <w:sz w:val="18"/>
          <w:szCs w:val="18"/>
        </w:rPr>
        <w:t>ingle</w:t>
      </w:r>
      <w:r>
        <w:rPr>
          <w:rFonts w:hint="eastAsia"/>
          <w:sz w:val="18"/>
          <w:szCs w:val="18"/>
        </w:rPr>
        <w:t>-</w:t>
      </w:r>
      <w:r>
        <w:rPr>
          <w:sz w:val="18"/>
          <w:szCs w:val="18"/>
        </w:rPr>
        <w:t>pin discharge voltage p</w:t>
      </w:r>
      <w:r>
        <w:rPr>
          <w:sz w:val="18"/>
          <w:szCs w:val="18"/>
        </w:rPr>
        <w:t>eak at 1000 Hz reache</w:t>
      </w:r>
      <w:r>
        <w:rPr>
          <w:rFonts w:hint="eastAsia"/>
          <w:sz w:val="18"/>
          <w:szCs w:val="18"/>
        </w:rPr>
        <w:t>d</w:t>
      </w:r>
      <w:r>
        <w:rPr>
          <w:sz w:val="18"/>
          <w:szCs w:val="18"/>
        </w:rPr>
        <w:t xml:space="preserve"> 12,300 V</w:t>
      </w:r>
      <w:r>
        <w:rPr>
          <w:rFonts w:hint="eastAsia"/>
          <w:sz w:val="18"/>
          <w:szCs w:val="18"/>
        </w:rPr>
        <w:t xml:space="preserve">, </w:t>
      </w:r>
      <w:r>
        <w:rPr>
          <w:rFonts w:hint="eastAsia"/>
          <w:sz w:val="18"/>
          <w:szCs w:val="18"/>
        </w:rPr>
        <w:t>which was</w:t>
      </w:r>
      <w:r>
        <w:rPr>
          <w:rFonts w:hint="eastAsia"/>
          <w:sz w:val="18"/>
          <w:szCs w:val="18"/>
        </w:rPr>
        <w:t xml:space="preserve"> higher than </w:t>
      </w:r>
      <w:r>
        <w:rPr>
          <w:sz w:val="18"/>
          <w:szCs w:val="18"/>
        </w:rPr>
        <w:t>11,700 V</w:t>
      </w:r>
      <w:r>
        <w:rPr>
          <w:rFonts w:hint="eastAsia"/>
          <w:sz w:val="18"/>
          <w:szCs w:val="18"/>
        </w:rPr>
        <w:t xml:space="preserve"> under static conditions; In the 6-pin discharge condition, a</w:t>
      </w:r>
      <w:r>
        <w:rPr>
          <w:sz w:val="18"/>
          <w:szCs w:val="18"/>
        </w:rPr>
        <w:t xml:space="preserve">lmost no discharge </w:t>
      </w:r>
      <w:r>
        <w:rPr>
          <w:rFonts w:hint="eastAsia"/>
          <w:sz w:val="18"/>
          <w:szCs w:val="18"/>
        </w:rPr>
        <w:t>was</w:t>
      </w:r>
      <w:r>
        <w:rPr>
          <w:sz w:val="18"/>
          <w:szCs w:val="18"/>
        </w:rPr>
        <w:t xml:space="preserve"> </w:t>
      </w:r>
      <w:r>
        <w:rPr>
          <w:rFonts w:hint="eastAsia"/>
          <w:sz w:val="18"/>
          <w:szCs w:val="18"/>
        </w:rPr>
        <w:t>observed</w:t>
      </w:r>
      <w:r>
        <w:rPr>
          <w:sz w:val="18"/>
          <w:szCs w:val="18"/>
        </w:rPr>
        <w:t xml:space="preserve"> at 500 Hz, but bec</w:t>
      </w:r>
      <w:r>
        <w:rPr>
          <w:rFonts w:hint="eastAsia"/>
          <w:sz w:val="18"/>
          <w:szCs w:val="18"/>
        </w:rPr>
        <w:t>ame</w:t>
      </w:r>
      <w:r>
        <w:rPr>
          <w:sz w:val="18"/>
          <w:szCs w:val="18"/>
        </w:rPr>
        <w:t xml:space="preserve"> distinctive at 1500 Hz, and </w:t>
      </w:r>
      <w:r>
        <w:rPr>
          <w:sz w:val="18"/>
          <w:szCs w:val="18"/>
        </w:rPr>
        <w:t xml:space="preserve">stable and uniform discharge </w:t>
      </w:r>
      <w:r>
        <w:rPr>
          <w:rFonts w:hint="eastAsia"/>
          <w:sz w:val="18"/>
          <w:szCs w:val="18"/>
        </w:rPr>
        <w:t>was</w:t>
      </w:r>
      <w:r>
        <w:rPr>
          <w:sz w:val="18"/>
          <w:szCs w:val="18"/>
        </w:rPr>
        <w:t xml:space="preserve"> </w:t>
      </w:r>
      <w:r>
        <w:rPr>
          <w:rFonts w:hint="eastAsia"/>
          <w:sz w:val="18"/>
          <w:szCs w:val="18"/>
        </w:rPr>
        <w:t>achieved</w:t>
      </w:r>
      <w:r>
        <w:rPr>
          <w:sz w:val="18"/>
          <w:szCs w:val="18"/>
        </w:rPr>
        <w:t xml:space="preserve"> at 2000 Hz.</w:t>
      </w:r>
      <w:bookmarkStart w:id="0" w:name="_GoBack"/>
      <w:bookmarkEnd w:id="0"/>
    </w:p>
    <w:p>
      <w:pPr>
        <w:pStyle w:val="style0"/>
        <w:rPr/>
      </w:pP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40"/>
  <w:bordersDoNotSurroundHeader/>
  <w:bordersDoNotSurroundFooter/>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kern w:val="2"/>
        <w:sz w:val="21"/>
        <w:szCs w:val="22"/>
        <w:lang w:val="en-US" w:bidi="ar-SA" w:eastAsia="zh-CN"/>
      </w:rPr>
    </w:rPrDefault>
    <w:pPrDefault>
      <w:pPr/>
    </w:pPrDefault>
  </w:docDefaults>
  <w:style w:type="paragraph" w:default="1" w:styleId="style0">
    <w:name w:val="Normal"/>
    <w:next w:val="style0"/>
    <w:qFormat/>
    <w:pPr>
      <w:widowControl w:val="false"/>
      <w:jc w:val="both"/>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pBdr>
        <w:bottom w:val="single" w:sz="6" w:space="1" w:color="auto"/>
      </w:pBdr>
      <w:tabs>
        <w:tab w:val="center" w:leader="none" w:pos="4153"/>
        <w:tab w:val="right" w:leader="none" w:pos="8306"/>
      </w:tabs>
      <w:snapToGrid w:val="false"/>
      <w:jc w:val="center"/>
    </w:pPr>
    <w:rPr>
      <w:sz w:val="18"/>
      <w:szCs w:val="18"/>
    </w:rPr>
  </w:style>
  <w:style w:type="character" w:customStyle="1" w:styleId="style4097">
    <w:name w:val="页眉 Char"/>
    <w:basedOn w:val="style65"/>
    <w:next w:val="style4097"/>
    <w:link w:val="style31"/>
    <w:uiPriority w:val="99"/>
    <w:rPr>
      <w:sz w:val="18"/>
      <w:szCs w:val="18"/>
    </w:rPr>
  </w:style>
  <w:style w:type="paragraph" w:styleId="style32">
    <w:name w:val="footer"/>
    <w:basedOn w:val="style0"/>
    <w:next w:val="style32"/>
    <w:link w:val="style4098"/>
    <w:uiPriority w:val="99"/>
    <w:pPr>
      <w:tabs>
        <w:tab w:val="center" w:leader="none" w:pos="4153"/>
        <w:tab w:val="right" w:leader="none" w:pos="8306"/>
      </w:tabs>
      <w:snapToGrid w:val="false"/>
      <w:jc w:val="left"/>
    </w:pPr>
    <w:rPr>
      <w:sz w:val="18"/>
      <w:szCs w:val="18"/>
    </w:rPr>
  </w:style>
  <w:style w:type="character" w:customStyle="1" w:styleId="style4098">
    <w:name w:val="页脚 Char"/>
    <w:basedOn w:val="style65"/>
    <w:next w:val="style4098"/>
    <w:link w:val="style32"/>
    <w:uiPriority w:val="99"/>
    <w:rPr>
      <w:sz w:val="18"/>
      <w:szCs w:val="18"/>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Words>171</Words>
  <Pages>1</Pages>
  <Characters>938</Characters>
  <Application>WPS Office</Application>
  <DocSecurity>0</DocSecurity>
  <Paragraphs>2</Paragraphs>
  <ScaleCrop>false</ScaleCrop>
  <Company>Microsoft</Company>
  <LinksUpToDate>false</LinksUpToDate>
  <CharactersWithSpaces>1108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2018-03-19T02:56:00Z</dcterms:created>
  <dc:creator>kgd</dc:creator>
  <lastModifiedBy>PRO 6 Plus</lastModifiedBy>
  <dcterms:modified xsi:type="dcterms:W3CDTF">2018-03-19T11:58:48Z</dcterms:modified>
  <revision>2</revision>
</coreProperties>
</file>

<file path=docProps/custom.xml><?xml version="1.0" encoding="utf-8"?>
<Properties xmlns="http://schemas.openxmlformats.org/officeDocument/2006/custom-properties" xmlns:vt="http://schemas.openxmlformats.org/officeDocument/2006/docPropsVTypes"/>
</file>