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1BB" w:rsidRDefault="003E11BB" w:rsidP="003E11B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Abstract:</w:t>
      </w:r>
    </w:p>
    <w:p w:rsidR="003E11BB" w:rsidRDefault="003E11BB" w:rsidP="003E11B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 purpose of this research proposal is to suggest the possibility that the three conserved regions of the Receptor-binding domain of HCV (the HVR1, HVR2, and </w:t>
      </w:r>
      <w:proofErr w:type="spellStart"/>
      <w:r>
        <w:rPr>
          <w:rFonts w:ascii="Calibri" w:eastAsia="Calibri" w:hAnsi="Calibri" w:cs="Calibri"/>
        </w:rPr>
        <w:t>IgVR</w:t>
      </w:r>
      <w:proofErr w:type="spellEnd"/>
      <w:r>
        <w:rPr>
          <w:rFonts w:ascii="Calibri" w:eastAsia="Calibri" w:hAnsi="Calibri" w:cs="Calibri"/>
        </w:rPr>
        <w:t xml:space="preserve">) are the </w:t>
      </w:r>
      <w:proofErr w:type="spellStart"/>
      <w:r>
        <w:rPr>
          <w:rFonts w:ascii="Calibri" w:eastAsia="Calibri" w:hAnsi="Calibri" w:cs="Calibri"/>
        </w:rPr>
        <w:t>epitopes</w:t>
      </w:r>
      <w:proofErr w:type="spellEnd"/>
      <w:r>
        <w:rPr>
          <w:rFonts w:ascii="Calibri" w:eastAsia="Calibri" w:hAnsi="Calibri" w:cs="Calibri"/>
        </w:rPr>
        <w:t xml:space="preserve"> of HCV where the virus binds to SR-B1 and CD81. That through fragmentation of the RBD at both the HVR2 and amino acids in </w:t>
      </w:r>
      <w:proofErr w:type="spellStart"/>
      <w:r>
        <w:rPr>
          <w:rFonts w:ascii="Calibri" w:eastAsia="Calibri" w:hAnsi="Calibri" w:cs="Calibri"/>
        </w:rPr>
        <w:t>IgVR</w:t>
      </w:r>
      <w:proofErr w:type="spellEnd"/>
      <w:r>
        <w:rPr>
          <w:rFonts w:ascii="Calibri" w:eastAsia="Calibri" w:hAnsi="Calibri" w:cs="Calibri"/>
        </w:rPr>
        <w:t xml:space="preserve">, to separate amino acids 613-618 from the RBD on the E2 glycoprotein, </w:t>
      </w:r>
      <w:proofErr w:type="gramStart"/>
      <w:r>
        <w:rPr>
          <w:rFonts w:ascii="Calibri" w:eastAsia="Calibri" w:hAnsi="Calibri" w:cs="Calibri"/>
        </w:rPr>
        <w:t>to  thus</w:t>
      </w:r>
      <w:proofErr w:type="gramEnd"/>
      <w:r>
        <w:rPr>
          <w:rFonts w:ascii="Calibri" w:eastAsia="Calibri" w:hAnsi="Calibri" w:cs="Calibri"/>
        </w:rPr>
        <w:t xml:space="preserve"> use in a functional protein microarray against a CD81 assays,  will show neutralization of HCV in vitro.  Then a further test of these fragments in </w:t>
      </w:r>
      <w:proofErr w:type="spellStart"/>
      <w:r>
        <w:rPr>
          <w:rFonts w:ascii="Calibri" w:eastAsia="Calibri" w:hAnsi="Calibri" w:cs="Calibri"/>
        </w:rPr>
        <w:t>trimera</w:t>
      </w:r>
      <w:proofErr w:type="spellEnd"/>
      <w:r>
        <w:rPr>
          <w:rFonts w:ascii="Calibri" w:eastAsia="Calibri" w:hAnsi="Calibri" w:cs="Calibri"/>
        </w:rPr>
        <w:t xml:space="preserve"> mice will further prove neutralization of HCV by reducing the HCV infection in the mice.  </w:t>
      </w:r>
      <w:proofErr w:type="gramStart"/>
      <w:r>
        <w:rPr>
          <w:rFonts w:ascii="Calibri" w:eastAsia="Calibri" w:hAnsi="Calibri" w:cs="Calibri"/>
        </w:rPr>
        <w:t>Thus making it possible for the development of a recombinant vaccine for HCV.</w:t>
      </w:r>
      <w:proofErr w:type="gramEnd"/>
    </w:p>
    <w:p w:rsidR="00F9215D" w:rsidRDefault="00F9215D"/>
    <w:sectPr w:rsidR="00F9215D" w:rsidSect="00F921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11BB"/>
    <w:rsid w:val="003E11BB"/>
    <w:rsid w:val="00F92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1B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drmario</dc:creator>
  <cp:lastModifiedBy>drmario</cp:lastModifiedBy>
  <cp:revision>1</cp:revision>
  <dcterms:created xsi:type="dcterms:W3CDTF">2018-06-18T23:47:00Z</dcterms:created>
  <dcterms:modified xsi:type="dcterms:W3CDTF">2018-06-18T23:48:00Z</dcterms:modified>
</cp:coreProperties>
</file>