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012" w:rsidRDefault="00B55012" w:rsidP="00B55012">
      <w:pPr>
        <w:spacing w:after="0" w:line="360" w:lineRule="auto"/>
        <w:rPr>
          <w:rFonts w:ascii="Times New Roman" w:eastAsia="Cambria" w:hAnsi="Times New Roman" w:cs="Times New Roman"/>
          <w:b/>
          <w:sz w:val="24"/>
          <w:szCs w:val="24"/>
        </w:rPr>
      </w:pPr>
      <w:r>
        <w:rPr>
          <w:rFonts w:ascii="Times New Roman" w:eastAsia="Cambria" w:hAnsi="Times New Roman" w:cs="Times New Roman"/>
          <w:b/>
          <w:sz w:val="24"/>
          <w:szCs w:val="24"/>
        </w:rPr>
        <w:t>EVALUATION OF A NEW THERAPEUTIC SACROILIAC JOINT MANIPULATION TECHNIQUE FOR PATIENTS WITH SACROILIAC JOINT DYSFUNCTION</w:t>
      </w:r>
    </w:p>
    <w:p w:rsidR="00B55012" w:rsidRDefault="00B55012" w:rsidP="00B55012">
      <w:pPr>
        <w:spacing w:after="0" w:line="360" w:lineRule="auto"/>
        <w:rPr>
          <w:rFonts w:ascii="Times New Roman" w:eastAsia="Cambria" w:hAnsi="Times New Roman" w:cs="Times New Roman"/>
          <w:b/>
          <w:sz w:val="24"/>
          <w:szCs w:val="24"/>
        </w:rPr>
      </w:pPr>
      <w:r>
        <w:rPr>
          <w:rFonts w:ascii="Times New Roman" w:eastAsia="Cambria" w:hAnsi="Times New Roman" w:cs="Times New Roman"/>
          <w:b/>
          <w:sz w:val="24"/>
          <w:szCs w:val="24"/>
        </w:rPr>
        <w:t xml:space="preserve">Abstract </w:t>
      </w:r>
    </w:p>
    <w:p w:rsidR="00B55012" w:rsidRDefault="00B55012" w:rsidP="00B55012">
      <w:pPr>
        <w:spacing w:after="0" w:line="360" w:lineRule="auto"/>
        <w:rPr>
          <w:rFonts w:ascii="Times New Roman" w:eastAsia="Cambria" w:hAnsi="Times New Roman" w:cs="Times New Roman"/>
          <w:b/>
          <w:sz w:val="24"/>
          <w:szCs w:val="24"/>
        </w:rPr>
      </w:pPr>
      <w:r>
        <w:rPr>
          <w:rFonts w:ascii="Times New Roman" w:eastAsia="Cambria" w:hAnsi="Times New Roman" w:cs="Times New Roman"/>
          <w:b/>
          <w:sz w:val="24"/>
          <w:szCs w:val="24"/>
        </w:rPr>
        <w:t xml:space="preserve">Purpose </w:t>
      </w:r>
    </w:p>
    <w:p w:rsidR="00B55012" w:rsidRDefault="00B55012" w:rsidP="00B55012">
      <w:pPr>
        <w:spacing w:after="0" w:line="360" w:lineRule="auto"/>
        <w:jc w:val="both"/>
        <w:rPr>
          <w:rFonts w:ascii="Times New Roman" w:eastAsia="Cambria" w:hAnsi="Times New Roman" w:cs="Times New Roman"/>
          <w:b/>
          <w:sz w:val="24"/>
          <w:szCs w:val="24"/>
        </w:rPr>
      </w:pPr>
      <w:r>
        <w:rPr>
          <w:rFonts w:ascii="Times New Roman" w:eastAsia="Cambria" w:hAnsi="Times New Roman" w:cs="Times New Roman"/>
          <w:sz w:val="24"/>
          <w:szCs w:val="24"/>
        </w:rPr>
        <w:t xml:space="preserve">The sacroiliac joint (SIJ) can be a cause of low back pain and sciatica. The aim of this study was to assess and introduce a new physiotherapy manipulation intervention for SIJ-related back and leg pain. </w:t>
      </w:r>
    </w:p>
    <w:p w:rsidR="00B55012" w:rsidRDefault="00B55012" w:rsidP="00B55012">
      <w:pPr>
        <w:spacing w:after="0" w:line="360" w:lineRule="auto"/>
        <w:jc w:val="both"/>
        <w:rPr>
          <w:rFonts w:ascii="Times New Roman" w:eastAsia="Cambria" w:hAnsi="Times New Roman" w:cs="Times New Roman"/>
          <w:sz w:val="24"/>
          <w:szCs w:val="24"/>
        </w:rPr>
      </w:pPr>
      <w:r>
        <w:rPr>
          <w:rFonts w:ascii="Times New Roman" w:eastAsia="Cambria" w:hAnsi="Times New Roman" w:cs="Times New Roman"/>
          <w:b/>
          <w:sz w:val="24"/>
          <w:szCs w:val="24"/>
        </w:rPr>
        <w:t xml:space="preserve">Methods </w:t>
      </w:r>
      <w:r>
        <w:rPr>
          <w:rFonts w:ascii="Times New Roman" w:eastAsia="Cambria" w:hAnsi="Times New Roman" w:cs="Times New Roman"/>
          <w:sz w:val="24"/>
          <w:szCs w:val="24"/>
        </w:rPr>
        <w:t xml:space="preserve"> </w:t>
      </w:r>
    </w:p>
    <w:p w:rsidR="00B55012" w:rsidRDefault="00B55012" w:rsidP="00B55012">
      <w:pPr>
        <w:spacing w:after="0" w:line="360" w:lineRule="auto"/>
        <w:jc w:val="both"/>
        <w:rPr>
          <w:rFonts w:ascii="Times New Roman" w:eastAsia="Cambria" w:hAnsi="Times New Roman" w:cs="Times New Roman"/>
          <w:b/>
          <w:sz w:val="24"/>
          <w:szCs w:val="24"/>
        </w:rPr>
      </w:pPr>
      <w:r>
        <w:rPr>
          <w:rFonts w:ascii="Times New Roman" w:eastAsia="Cambria" w:hAnsi="Times New Roman" w:cs="Times New Roman"/>
          <w:sz w:val="24"/>
          <w:szCs w:val="24"/>
        </w:rPr>
        <w:t xml:space="preserve">As a double-blinded, randomized trial, we evaluated the short-term therapeutic efﬁcacy of a new intervention therapy against the current traditional practice. In this study, </w:t>
      </w:r>
      <w:r>
        <w:rPr>
          <w:rFonts w:ascii="Times New Roman" w:hAnsi="Times New Roman" w:cs="Times New Roman"/>
          <w:sz w:val="24"/>
          <w:szCs w:val="24"/>
        </w:rPr>
        <w:t>6</w:t>
      </w:r>
      <w:r>
        <w:rPr>
          <w:rFonts w:ascii="Times New Roman" w:eastAsia="Cambria" w:hAnsi="Times New Roman" w:cs="Times New Roman"/>
          <w:sz w:val="24"/>
          <w:szCs w:val="24"/>
        </w:rPr>
        <w:t>0 patients with SIJ-related leg and back pain were studied. Following the initial assessment of each patient with respect to their perception of pain and quality of life (QOL), the effect of the treatment was evaluated. Using the visual analogue scale (annexure 1), perception of pain was assessed before and after the 1</w:t>
      </w:r>
      <w:r>
        <w:rPr>
          <w:rFonts w:ascii="Times New Roman" w:eastAsia="Cambria" w:hAnsi="Times New Roman" w:cs="Times New Roman"/>
          <w:sz w:val="24"/>
          <w:szCs w:val="24"/>
          <w:vertAlign w:val="superscript"/>
        </w:rPr>
        <w:t>st</w:t>
      </w:r>
      <w:r>
        <w:rPr>
          <w:rFonts w:ascii="Times New Roman" w:eastAsia="Cambria" w:hAnsi="Times New Roman" w:cs="Times New Roman"/>
          <w:sz w:val="24"/>
          <w:szCs w:val="24"/>
        </w:rPr>
        <w:t>, 2</w:t>
      </w:r>
      <w:r>
        <w:rPr>
          <w:rFonts w:ascii="Times New Roman" w:eastAsia="Cambria" w:hAnsi="Times New Roman" w:cs="Times New Roman"/>
          <w:sz w:val="24"/>
          <w:szCs w:val="24"/>
          <w:vertAlign w:val="superscript"/>
        </w:rPr>
        <w:t>nd</w:t>
      </w:r>
      <w:r>
        <w:rPr>
          <w:rFonts w:ascii="Times New Roman" w:eastAsia="Cambria" w:hAnsi="Times New Roman" w:cs="Times New Roman"/>
          <w:sz w:val="24"/>
          <w:szCs w:val="24"/>
        </w:rPr>
        <w:t xml:space="preserve"> and 5</w:t>
      </w:r>
      <w:r>
        <w:rPr>
          <w:rFonts w:ascii="Times New Roman" w:eastAsia="Cambria" w:hAnsi="Times New Roman" w:cs="Times New Roman"/>
          <w:sz w:val="24"/>
          <w:szCs w:val="24"/>
          <w:vertAlign w:val="superscript"/>
        </w:rPr>
        <w:t>th</w:t>
      </w:r>
      <w:r>
        <w:rPr>
          <w:rFonts w:ascii="Times New Roman" w:eastAsia="Cambria" w:hAnsi="Times New Roman" w:cs="Times New Roman"/>
          <w:sz w:val="24"/>
          <w:szCs w:val="24"/>
        </w:rPr>
        <w:t xml:space="preserve"> day (3</w:t>
      </w:r>
      <w:r>
        <w:rPr>
          <w:rFonts w:ascii="Times New Roman" w:eastAsia="Cambria" w:hAnsi="Times New Roman" w:cs="Times New Roman"/>
          <w:sz w:val="24"/>
          <w:szCs w:val="24"/>
          <w:vertAlign w:val="superscript"/>
        </w:rPr>
        <w:t>rd</w:t>
      </w:r>
      <w:r>
        <w:rPr>
          <w:rFonts w:ascii="Times New Roman" w:eastAsia="Cambria" w:hAnsi="Times New Roman" w:cs="Times New Roman"/>
          <w:sz w:val="24"/>
          <w:szCs w:val="24"/>
        </w:rPr>
        <w:t>day) of treatment. The instrument used for evaluation of quality of life was SF-36 (annexure1). At the outset of the study, QOL status was determined using this instrument. After the course of treatment by the assigned treatment method, each patient was reassessed using the SF-36 at the 5</w:t>
      </w:r>
      <w:r>
        <w:rPr>
          <w:rFonts w:ascii="Times New Roman" w:eastAsia="Cambria" w:hAnsi="Times New Roman" w:cs="Times New Roman"/>
          <w:sz w:val="24"/>
          <w:szCs w:val="24"/>
          <w:vertAlign w:val="superscript"/>
        </w:rPr>
        <w:t>th</w:t>
      </w:r>
      <w:r>
        <w:rPr>
          <w:rFonts w:ascii="Times New Roman" w:eastAsia="Cambria" w:hAnsi="Times New Roman" w:cs="Times New Roman"/>
          <w:sz w:val="24"/>
          <w:szCs w:val="24"/>
        </w:rPr>
        <w:t xml:space="preserve"> week following a lapse of 4-week treatment free period. Except for having to drop out one patient for his </w:t>
      </w:r>
      <w:r>
        <w:rPr>
          <w:rFonts w:ascii="Times New Roman" w:eastAsia="Cambria" w:hAnsi="Times New Roman" w:cs="Times New Roman"/>
          <w:color w:val="auto"/>
          <w:sz w:val="24"/>
          <w:szCs w:val="24"/>
        </w:rPr>
        <w:t>failure</w:t>
      </w:r>
      <w:r>
        <w:rPr>
          <w:rFonts w:ascii="Times New Roman" w:eastAsia="Cambria" w:hAnsi="Times New Roman" w:cs="Times New Roman"/>
          <w:color w:val="FF0000"/>
          <w:sz w:val="24"/>
          <w:szCs w:val="24"/>
        </w:rPr>
        <w:t xml:space="preserve"> </w:t>
      </w:r>
      <w:r>
        <w:rPr>
          <w:rFonts w:ascii="Times New Roman" w:eastAsia="Cambria" w:hAnsi="Times New Roman" w:cs="Times New Roman"/>
          <w:sz w:val="24"/>
          <w:szCs w:val="24"/>
        </w:rPr>
        <w:t>to keep to the appointment, another 59 patients were treated successfully.</w:t>
      </w:r>
    </w:p>
    <w:p w:rsidR="00B55012" w:rsidRDefault="00B55012" w:rsidP="00B55012">
      <w:pPr>
        <w:spacing w:after="0" w:line="360" w:lineRule="auto"/>
        <w:jc w:val="both"/>
        <w:rPr>
          <w:rFonts w:ascii="Times New Roman" w:hAnsi="Times New Roman" w:cs="Times New Roman"/>
          <w:sz w:val="24"/>
          <w:szCs w:val="24"/>
        </w:rPr>
      </w:pPr>
      <w:r>
        <w:rPr>
          <w:rFonts w:ascii="Times New Roman" w:eastAsia="Cambria" w:hAnsi="Times New Roman" w:cs="Times New Roman"/>
          <w:b/>
          <w:sz w:val="24"/>
          <w:szCs w:val="24"/>
        </w:rPr>
        <w:t>The results</w:t>
      </w:r>
      <w:r>
        <w:rPr>
          <w:rFonts w:ascii="Times New Roman" w:hAnsi="Times New Roman" w:cs="Times New Roman"/>
          <w:sz w:val="24"/>
          <w:szCs w:val="24"/>
        </w:rPr>
        <w:t xml:space="preserve"> </w:t>
      </w:r>
    </w:p>
    <w:p w:rsidR="00B55012" w:rsidRDefault="00B55012" w:rsidP="00B55012">
      <w:pPr>
        <w:spacing w:after="0" w:line="360" w:lineRule="auto"/>
        <w:jc w:val="both"/>
        <w:rPr>
          <w:rFonts w:ascii="Times New Roman" w:eastAsia="Cambria" w:hAnsi="Times New Roman" w:cs="Times New Roman"/>
          <w:bCs/>
          <w:sz w:val="24"/>
          <w:szCs w:val="24"/>
        </w:rPr>
      </w:pPr>
      <w:r>
        <w:rPr>
          <w:rFonts w:ascii="Times New Roman" w:hAnsi="Times New Roman" w:cs="Times New Roman"/>
          <w:sz w:val="24"/>
          <w:szCs w:val="24"/>
        </w:rPr>
        <w:t>The</w:t>
      </w:r>
      <w:r>
        <w:rPr>
          <w:rFonts w:ascii="Times New Roman" w:eastAsia="Cambria" w:hAnsi="Times New Roman" w:cs="Times New Roman"/>
          <w:sz w:val="24"/>
          <w:szCs w:val="24"/>
        </w:rPr>
        <w:t xml:space="preserve"> results show that the effect is highly significant at α = 0.001(CI 4.3+0.7) for pain reduction and α = 0.001(CI 1447.5+24.2) for QOL improvement</w:t>
      </w:r>
      <w:r>
        <w:rPr>
          <w:rFonts w:ascii="Times New Roman" w:eastAsia="Cambria" w:hAnsi="Times New Roman" w:cs="Times New Roman"/>
          <w:b/>
          <w:sz w:val="24"/>
          <w:szCs w:val="24"/>
        </w:rPr>
        <w:t>.</w:t>
      </w:r>
      <w:r>
        <w:rPr>
          <w:rFonts w:ascii="Times New Roman" w:eastAsia="Cambria" w:hAnsi="Times New Roman" w:cs="Times New Roman"/>
          <w:bCs/>
          <w:sz w:val="24"/>
          <w:szCs w:val="24"/>
        </w:rPr>
        <w:t xml:space="preserve"> Of the 59 patients, 100% (n=30) have recovered from pain with the new treatment after the 3</w:t>
      </w:r>
      <w:r>
        <w:rPr>
          <w:rFonts w:ascii="Times New Roman" w:eastAsia="Cambria" w:hAnsi="Times New Roman" w:cs="Times New Roman"/>
          <w:bCs/>
          <w:sz w:val="24"/>
          <w:szCs w:val="24"/>
          <w:vertAlign w:val="superscript"/>
        </w:rPr>
        <w:t>rd</w:t>
      </w:r>
      <w:r>
        <w:rPr>
          <w:rFonts w:ascii="Times New Roman" w:eastAsia="Cambria" w:hAnsi="Times New Roman" w:cs="Times New Roman"/>
          <w:bCs/>
          <w:sz w:val="24"/>
          <w:szCs w:val="24"/>
        </w:rPr>
        <w:t xml:space="preserve"> visit, while the recovery rate among patients who received the traditional treatment is 6.8% (n=29) after the 3</w:t>
      </w:r>
      <w:r>
        <w:rPr>
          <w:rFonts w:ascii="Times New Roman" w:eastAsia="Cambria" w:hAnsi="Times New Roman" w:cs="Times New Roman"/>
          <w:bCs/>
          <w:sz w:val="24"/>
          <w:szCs w:val="24"/>
          <w:vertAlign w:val="superscript"/>
        </w:rPr>
        <w:t>rd</w:t>
      </w:r>
      <w:r>
        <w:rPr>
          <w:rFonts w:ascii="Times New Roman" w:eastAsia="Cambria" w:hAnsi="Times New Roman" w:cs="Times New Roman"/>
          <w:bCs/>
          <w:sz w:val="24"/>
          <w:szCs w:val="24"/>
        </w:rPr>
        <w:t xml:space="preserve"> visit.</w:t>
      </w:r>
    </w:p>
    <w:p w:rsidR="00B55012" w:rsidRDefault="00B55012" w:rsidP="00B55012">
      <w:pPr>
        <w:spacing w:after="0" w:line="360" w:lineRule="auto"/>
        <w:rPr>
          <w:rFonts w:ascii="Times New Roman" w:eastAsia="Cambria" w:hAnsi="Times New Roman" w:cs="Times New Roman"/>
          <w:b/>
          <w:sz w:val="24"/>
          <w:szCs w:val="24"/>
        </w:rPr>
      </w:pPr>
      <w:r>
        <w:rPr>
          <w:rFonts w:ascii="Times New Roman" w:eastAsia="Cambria" w:hAnsi="Times New Roman" w:cs="Times New Roman"/>
          <w:b/>
          <w:sz w:val="24"/>
          <w:szCs w:val="24"/>
        </w:rPr>
        <w:t>Conclusion</w:t>
      </w:r>
    </w:p>
    <w:p w:rsidR="00B55012" w:rsidRDefault="00B55012" w:rsidP="00B55012">
      <w:pPr>
        <w:spacing w:after="0" w:line="360" w:lineRule="auto"/>
        <w:jc w:val="both"/>
        <w:rPr>
          <w:rFonts w:ascii="Times New Roman" w:eastAsia="Cambria" w:hAnsi="Times New Roman" w:cs="Times New Roman"/>
          <w:b/>
          <w:color w:val="auto"/>
          <w:sz w:val="24"/>
          <w:szCs w:val="24"/>
        </w:rPr>
      </w:pPr>
      <w:r>
        <w:rPr>
          <w:rFonts w:ascii="Times New Roman" w:hAnsi="Times New Roman" w:cs="Times New Roman"/>
          <w:sz w:val="24"/>
          <w:szCs w:val="24"/>
        </w:rPr>
        <w:t>In</w:t>
      </w:r>
      <w:r>
        <w:rPr>
          <w:rFonts w:ascii="Times New Roman" w:eastAsia="Cambria" w:hAnsi="Times New Roman" w:cs="Times New Roman"/>
          <w:sz w:val="24"/>
          <w:szCs w:val="24"/>
        </w:rPr>
        <w:t xml:space="preserve"> this double-blinded intervention study, the new manual therapy technique appeared to be the choice of treatment and more beneficial to the patients with back pain due to sacroiliac dysfunction than the traditional treatment. Further study to investigate its </w:t>
      </w:r>
      <w:r>
        <w:rPr>
          <w:rFonts w:ascii="Times New Roman" w:eastAsia="Cambria" w:hAnsi="Times New Roman" w:cs="Times New Roman"/>
          <w:color w:val="auto"/>
          <w:sz w:val="24"/>
          <w:szCs w:val="24"/>
        </w:rPr>
        <w:t>benefits with larger population should be encouraged.</w:t>
      </w:r>
      <w:r>
        <w:rPr>
          <w:rFonts w:ascii="Times New Roman" w:eastAsia="Cambria" w:hAnsi="Times New Roman" w:cs="Times New Roman"/>
          <w:b/>
          <w:color w:val="auto"/>
          <w:sz w:val="24"/>
          <w:szCs w:val="24"/>
        </w:rPr>
        <w:t xml:space="preserve"> </w:t>
      </w:r>
    </w:p>
    <w:p w:rsidR="00B55012" w:rsidRDefault="00B55012" w:rsidP="00B55012">
      <w:pPr>
        <w:spacing w:after="0" w:line="360" w:lineRule="auto"/>
        <w:jc w:val="both"/>
        <w:rPr>
          <w:rFonts w:ascii="Times New Roman" w:eastAsia="Cambria" w:hAnsi="Times New Roman" w:cs="Times New Roman"/>
          <w:sz w:val="24"/>
          <w:szCs w:val="24"/>
        </w:rPr>
      </w:pPr>
      <w:r>
        <w:rPr>
          <w:rFonts w:ascii="Times New Roman" w:eastAsia="Cambria" w:hAnsi="Times New Roman" w:cs="Times New Roman"/>
          <w:b/>
          <w:sz w:val="24"/>
          <w:szCs w:val="24"/>
        </w:rPr>
        <w:t>Keywords:</w:t>
      </w:r>
      <w:r>
        <w:rPr>
          <w:rFonts w:ascii="Times New Roman" w:eastAsia="Cambria" w:hAnsi="Times New Roman" w:cs="Times New Roman"/>
          <w:sz w:val="24"/>
          <w:szCs w:val="24"/>
        </w:rPr>
        <w:t xml:space="preserve"> Sacroiliac joint, Treatment, Manual therapy, Physiotherapy, Heat therapy, Exercise therapy, Joint mobilization, Quality of Life</w:t>
      </w:r>
    </w:p>
    <w:p w:rsidR="00B55012" w:rsidRDefault="00B55012" w:rsidP="00B55012">
      <w:pPr>
        <w:spacing w:after="0" w:line="360" w:lineRule="auto"/>
        <w:rPr>
          <w:rFonts w:ascii="Times New Roman" w:eastAsia="Cambria" w:hAnsi="Times New Roman" w:cs="Times New Roman"/>
          <w:b/>
          <w:sz w:val="24"/>
          <w:szCs w:val="24"/>
        </w:rPr>
      </w:pPr>
    </w:p>
    <w:p w:rsidR="004F6096" w:rsidRDefault="004F6096"/>
    <w:sectPr w:rsidR="004F6096" w:rsidSect="004F60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Iskoola Pota">
    <w:panose1 w:val="020B0502040204020203"/>
    <w:charset w:val="00"/>
    <w:family w:val="swiss"/>
    <w:pitch w:val="variable"/>
    <w:sig w:usb0="00000003" w:usb1="00000000"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B55012"/>
    <w:rsid w:val="004F6096"/>
    <w:rsid w:val="006660A5"/>
    <w:rsid w:val="00772099"/>
    <w:rsid w:val="00B03270"/>
    <w:rsid w:val="00B55012"/>
    <w:rsid w:val="00EB0EE6"/>
  </w:rsids>
  <m:mathPr>
    <m:mathFont m:val="Cambria Math"/>
    <m:brkBin m:val="before"/>
    <m:brkBinSub m:val="--"/>
    <m:smallFrac m:val="off"/>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012"/>
    <w:pPr>
      <w:widowControl w:val="0"/>
    </w:pPr>
    <w:rPr>
      <w:rFonts w:ascii="Calibri" w:eastAsia="Calibri" w:hAnsi="Calibri" w:cs="Calibri"/>
      <w:color w:val="000000"/>
      <w:lang w:bidi="si-L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93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328</Words>
  <Characters>1870</Characters>
  <Application>Microsoft Office Word</Application>
  <DocSecurity>0</DocSecurity>
  <Lines>15</Lines>
  <Paragraphs>4</Paragraphs>
  <ScaleCrop>false</ScaleCrop>
  <Company/>
  <LinksUpToDate>false</LinksUpToDate>
  <CharactersWithSpaces>2194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samsung</cp:lastModifiedBy>
  <cp:revision>2</cp:revision>
  <dcterms:created xsi:type="dcterms:W3CDTF">2018-03-17T17:34:00Z</dcterms:created>
  <dcterms:modified xsi:type="dcterms:W3CDTF">2018-03-17T17:34:00Z</dcterms:modified>
</cp:coreProperties>
</file>