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A50BA7" w14:textId="77777777" w:rsidR="001249C1" w:rsidRPr="001249C1" w:rsidRDefault="001249C1" w:rsidP="001249C1">
      <w:pPr>
        <w:pStyle w:val="Header"/>
        <w:jc w:val="center"/>
        <w:rPr>
          <w:b/>
          <w:bCs/>
          <w:i/>
          <w:iCs/>
          <w:sz w:val="32"/>
          <w:szCs w:val="32"/>
        </w:rPr>
      </w:pPr>
      <w:r w:rsidRPr="001249C1">
        <w:rPr>
          <w:b/>
          <w:bCs/>
          <w:i/>
          <w:iCs/>
          <w:sz w:val="32"/>
          <w:szCs w:val="32"/>
        </w:rPr>
        <w:t>Marine Aquaculture Biodiversity, Sustainability, and its impact on Climate change</w:t>
      </w:r>
    </w:p>
    <w:p w14:paraId="6627A623" w14:textId="77777777" w:rsidR="001249C1" w:rsidRDefault="001249C1" w:rsidP="001249C1">
      <w:pPr>
        <w:pStyle w:val="Header"/>
        <w:rPr>
          <w:b/>
          <w:bCs/>
        </w:rPr>
      </w:pPr>
    </w:p>
    <w:p w14:paraId="5CBCD311" w14:textId="089C103D" w:rsidR="001249C1" w:rsidRPr="00345601" w:rsidRDefault="001249C1" w:rsidP="001249C1">
      <w:pPr>
        <w:pStyle w:val="Header"/>
        <w:rPr>
          <w:i/>
          <w:iCs/>
        </w:rPr>
      </w:pPr>
      <w:r w:rsidRPr="00345601">
        <w:rPr>
          <w:b/>
          <w:bCs/>
        </w:rPr>
        <w:t>By</w:t>
      </w:r>
      <w:r>
        <w:t xml:space="preserve">: </w:t>
      </w:r>
      <w:r w:rsidRPr="00345601">
        <w:rPr>
          <w:i/>
          <w:iCs/>
        </w:rPr>
        <w:t>Tania A. Martinez, LLM, JD, EAD (PhD)</w:t>
      </w:r>
    </w:p>
    <w:p w14:paraId="72281023" w14:textId="77777777" w:rsidR="0004177D" w:rsidRDefault="0004177D" w:rsidP="005973B9">
      <w:pPr>
        <w:pStyle w:val="BodyText"/>
        <w:spacing w:before="73" w:line="198" w:lineRule="exact"/>
        <w:ind w:left="100" w:right="5987"/>
        <w:rPr>
          <w:rFonts w:ascii="Arial"/>
        </w:rPr>
      </w:pPr>
    </w:p>
    <w:p w14:paraId="1513EDDE"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01B172FA" w14:textId="3A855724" w:rsidR="005F048D" w:rsidRPr="0004177D" w:rsidRDefault="005F048D" w:rsidP="005F048D">
      <w:pPr>
        <w:pStyle w:val="NormalWeb"/>
        <w:shd w:val="clear" w:color="auto" w:fill="FFFFFF"/>
        <w:spacing w:before="0" w:beforeAutospacing="0" w:after="150" w:afterAutospacing="0"/>
        <w:jc w:val="both"/>
        <w:rPr>
          <w:rFonts w:asciiTheme="minorHAnsi" w:hAnsiTheme="minorHAnsi" w:cstheme="minorHAnsi"/>
          <w:color w:val="000000"/>
          <w:sz w:val="16"/>
          <w:szCs w:val="16"/>
          <w:lang w:val="en-US"/>
        </w:rPr>
      </w:pPr>
      <w:r w:rsidRPr="005F048D">
        <w:rPr>
          <w:rFonts w:cstheme="minorHAnsi"/>
          <w:b/>
          <w:bCs/>
          <w:color w:val="000000"/>
          <w:sz w:val="16"/>
          <w:szCs w:val="16"/>
        </w:rPr>
        <w:t>Statement of Problem:</w:t>
      </w:r>
      <w:r w:rsidRPr="005F048D">
        <w:rPr>
          <w:rFonts w:cstheme="minorHAnsi"/>
          <w:sz w:val="16"/>
          <w:szCs w:val="16"/>
        </w:rPr>
        <w:t xml:space="preserve"> </w:t>
      </w:r>
      <w:r w:rsidRPr="0004177D">
        <w:rPr>
          <w:rFonts w:cstheme="minorHAnsi"/>
          <w:sz w:val="16"/>
          <w:szCs w:val="16"/>
        </w:rPr>
        <w:t xml:space="preserve">Our environment is being suffocated due to the extreme and unreasonable exploitation of some industries, the inconsiderate practices of the human population, and the lack of correct policies and regulations at a worldwide </w:t>
      </w:r>
      <w:r w:rsidRPr="0004177D">
        <w:rPr>
          <w:rFonts w:cstheme="minorHAnsi"/>
          <w:color w:val="000000" w:themeColor="text1"/>
          <w:sz w:val="16"/>
          <w:szCs w:val="16"/>
        </w:rPr>
        <w:t>level. In the 200-plus years since the industrial revolution began, the concentration of </w:t>
      </w:r>
      <w:r w:rsidRPr="0004177D">
        <w:rPr>
          <w:rFonts w:cstheme="minorHAnsi"/>
          <w:color w:val="000000" w:themeColor="text1"/>
          <w:sz w:val="16"/>
          <w:szCs w:val="16"/>
          <w:u w:val="single"/>
        </w:rPr>
        <w:t>carbon dioxide (CO</w:t>
      </w:r>
      <w:r w:rsidRPr="0004177D">
        <w:rPr>
          <w:rFonts w:cstheme="minorHAnsi"/>
          <w:color w:val="000000" w:themeColor="text1"/>
          <w:sz w:val="16"/>
          <w:szCs w:val="16"/>
          <w:u w:val="single"/>
          <w:vertAlign w:val="subscript"/>
        </w:rPr>
        <w:t>2</w:t>
      </w:r>
      <w:r w:rsidRPr="0004177D">
        <w:rPr>
          <w:rFonts w:cstheme="minorHAnsi"/>
          <w:color w:val="000000" w:themeColor="text1"/>
          <w:sz w:val="16"/>
          <w:szCs w:val="16"/>
          <w:u w:val="single"/>
        </w:rPr>
        <w:t>)</w:t>
      </w:r>
      <w:r w:rsidRPr="0004177D">
        <w:rPr>
          <w:rStyle w:val="FootnoteReference"/>
          <w:rFonts w:cstheme="minorHAnsi"/>
          <w:color w:val="000000" w:themeColor="text1"/>
          <w:sz w:val="16"/>
          <w:szCs w:val="16"/>
          <w:u w:val="single"/>
        </w:rPr>
        <w:footnoteReference w:id="1"/>
      </w:r>
      <w:r w:rsidRPr="0004177D">
        <w:rPr>
          <w:rFonts w:cstheme="minorHAnsi"/>
          <w:color w:val="000000" w:themeColor="text1"/>
          <w:sz w:val="16"/>
          <w:szCs w:val="16"/>
        </w:rPr>
        <w:t xml:space="preserve"> in the atmosphere has increased due to human actions. During this time, the pH of surface ocean waters has fallen by 0.1 pH units. </w:t>
      </w:r>
      <w:r w:rsidRPr="0004177D">
        <w:rPr>
          <w:rFonts w:cstheme="minorHAnsi"/>
          <w:color w:val="000000" w:themeColor="text1"/>
          <w:sz w:val="16"/>
          <w:szCs w:val="16"/>
          <w:shd w:val="clear" w:color="auto" w:fill="FFFFFF"/>
        </w:rPr>
        <w:t>Each year, billions of pounds of trash and other pollutants enter the ocean. Some of the debris ends up on our beaches, washed in with the waves and tides. Some debris sinks, some is eaten by marine animals that mistake it for food, and some accumulates in ocean gyres</w:t>
      </w:r>
      <w:r w:rsidRPr="0004177D">
        <w:rPr>
          <w:rStyle w:val="Hyperlink"/>
          <w:rFonts w:cstheme="minorHAnsi"/>
          <w:color w:val="000000" w:themeColor="text1"/>
          <w:sz w:val="16"/>
          <w:szCs w:val="16"/>
          <w:shd w:val="clear" w:color="auto" w:fill="FFFFFF"/>
        </w:rPr>
        <w:t>.</w:t>
      </w:r>
      <w:r w:rsidRPr="0004177D">
        <w:rPr>
          <w:rStyle w:val="FootnoteReference"/>
          <w:rFonts w:eastAsia="Tw Cen MT" w:cstheme="minorHAnsi"/>
          <w:color w:val="000000" w:themeColor="text1"/>
          <w:sz w:val="16"/>
          <w:szCs w:val="16"/>
          <w:u w:val="single"/>
          <w:shd w:val="clear" w:color="auto" w:fill="FFFFFF"/>
        </w:rPr>
        <w:footnoteReference w:id="2"/>
      </w:r>
      <w:r w:rsidRPr="0004177D">
        <w:rPr>
          <w:rFonts w:cstheme="minorHAnsi"/>
          <w:color w:val="000000" w:themeColor="text1"/>
          <w:sz w:val="16"/>
          <w:szCs w:val="16"/>
          <w:shd w:val="clear" w:color="auto" w:fill="FFFFFF"/>
        </w:rPr>
        <w:t xml:space="preserve"> Other forms of pollution that impact the health of the ocean come from sources like oil spills or from accumulation of many dispersed sources, such as fertilizer from our yards, which cause</w:t>
      </w:r>
      <w:r w:rsidRPr="0004177D">
        <w:rPr>
          <w:rFonts w:cstheme="minorHAnsi"/>
          <w:color w:val="000000" w:themeColor="text1"/>
          <w:sz w:val="16"/>
          <w:szCs w:val="16"/>
        </w:rPr>
        <w:t xml:space="preserve"> a </w:t>
      </w:r>
      <w:r w:rsidRPr="0004177D">
        <w:rPr>
          <w:rFonts w:cstheme="minorHAnsi"/>
          <w:color w:val="000000" w:themeColor="text1"/>
          <w:sz w:val="16"/>
          <w:szCs w:val="16"/>
          <w:u w:val="single"/>
        </w:rPr>
        <w:t>30 percent increase</w:t>
      </w:r>
      <w:r w:rsidRPr="0004177D">
        <w:rPr>
          <w:rFonts w:cstheme="minorHAnsi"/>
          <w:color w:val="000000" w:themeColor="text1"/>
          <w:sz w:val="16"/>
          <w:szCs w:val="16"/>
        </w:rPr>
        <w:t> in acidity.</w:t>
      </w:r>
      <w:r w:rsidRPr="0004177D">
        <w:rPr>
          <w:rStyle w:val="FootnoteReference"/>
          <w:rFonts w:cstheme="minorHAnsi"/>
          <w:color w:val="000000" w:themeColor="text1"/>
          <w:sz w:val="16"/>
          <w:szCs w:val="16"/>
        </w:rPr>
        <w:footnoteReference w:id="3"/>
      </w:r>
      <w:r>
        <w:rPr>
          <w:rFonts w:cstheme="minorHAnsi"/>
          <w:b/>
          <w:bCs/>
          <w:color w:val="333333"/>
          <w:sz w:val="16"/>
          <w:szCs w:val="16"/>
        </w:rPr>
        <w:t xml:space="preserve"> </w:t>
      </w:r>
      <w:r w:rsidRPr="0004177D">
        <w:rPr>
          <w:rFonts w:cstheme="minorHAnsi"/>
          <w:b/>
          <w:bCs/>
          <w:color w:val="000000" w:themeColor="text1"/>
          <w:sz w:val="16"/>
          <w:szCs w:val="16"/>
        </w:rPr>
        <w:t>C</w:t>
      </w:r>
      <w:r w:rsidRPr="0004177D">
        <w:rPr>
          <w:rStyle w:val="Strong"/>
          <w:rFonts w:eastAsia="Tw Cen MT" w:cstheme="minorHAnsi"/>
          <w:color w:val="000000" w:themeColor="text1"/>
          <w:sz w:val="16"/>
          <w:szCs w:val="16"/>
        </w:rPr>
        <w:t>limate change</w:t>
      </w:r>
      <w:r w:rsidRPr="0004177D">
        <w:rPr>
          <w:rFonts w:cstheme="minorHAnsi"/>
          <w:color w:val="000000" w:themeColor="text1"/>
          <w:sz w:val="16"/>
          <w:szCs w:val="16"/>
        </w:rPr>
        <w:t> is our main concern for the fisheries and aquaculture pr</w:t>
      </w:r>
      <w:r w:rsidRPr="0004177D">
        <w:rPr>
          <w:rFonts w:cstheme="minorHAnsi"/>
          <w:color w:val="000000"/>
          <w:sz w:val="16"/>
          <w:szCs w:val="16"/>
        </w:rPr>
        <w:t>actices today in the world.</w:t>
      </w:r>
      <w:r w:rsidRPr="0004177D">
        <w:rPr>
          <w:rFonts w:cstheme="minorHAnsi"/>
          <w:b/>
          <w:bCs/>
          <w:color w:val="000000"/>
          <w:sz w:val="16"/>
          <w:szCs w:val="16"/>
        </w:rPr>
        <w:t xml:space="preserve"> </w:t>
      </w:r>
      <w:r w:rsidRPr="0004177D">
        <w:rPr>
          <w:rFonts w:cstheme="minorHAnsi"/>
          <w:color w:val="000000"/>
          <w:sz w:val="16"/>
          <w:szCs w:val="16"/>
        </w:rPr>
        <w:t xml:space="preserve">The ecosystems in the oceans, lakes, and other aquatic areas are complex environments that are in some places trying to survive by adapting themselves to the </w:t>
      </w:r>
      <w:proofErr w:type="gramStart"/>
      <w:r w:rsidRPr="0004177D">
        <w:rPr>
          <w:rFonts w:cstheme="minorHAnsi"/>
          <w:color w:val="000000"/>
          <w:sz w:val="16"/>
          <w:szCs w:val="16"/>
        </w:rPr>
        <w:t>reality</w:t>
      </w:r>
      <w:proofErr w:type="gramEnd"/>
      <w:r w:rsidRPr="0004177D">
        <w:rPr>
          <w:rFonts w:cstheme="minorHAnsi"/>
          <w:color w:val="000000"/>
          <w:sz w:val="16"/>
          <w:szCs w:val="16"/>
        </w:rPr>
        <w:t xml:space="preserve"> caused by anthropogenic climate change. Societal practices are profoundly affecting the environment and</w:t>
      </w:r>
      <w:r>
        <w:rPr>
          <w:rFonts w:cstheme="minorHAnsi"/>
          <w:color w:val="000000"/>
          <w:sz w:val="16"/>
          <w:szCs w:val="16"/>
        </w:rPr>
        <w:t xml:space="preserve"> </w:t>
      </w:r>
      <w:r w:rsidRPr="0004177D">
        <w:rPr>
          <w:rFonts w:cstheme="minorHAnsi"/>
          <w:color w:val="000000"/>
          <w:sz w:val="16"/>
          <w:szCs w:val="16"/>
        </w:rPr>
        <w:t>producing huge irregularities and changes in different areas to the climate, which in turn alters the distribution of fish stocks, marine food production, and oceanic habitats.</w:t>
      </w:r>
      <w:r>
        <w:rPr>
          <w:rFonts w:cstheme="minorHAnsi"/>
          <w:color w:val="000000"/>
          <w:sz w:val="16"/>
          <w:szCs w:val="16"/>
        </w:rPr>
        <w:t xml:space="preserve"> </w:t>
      </w:r>
      <w:r>
        <w:rPr>
          <w:rFonts w:cstheme="minorHAnsi"/>
          <w:b/>
          <w:bCs/>
          <w:color w:val="333333"/>
          <w:sz w:val="16"/>
          <w:szCs w:val="16"/>
        </w:rPr>
        <w:t xml:space="preserve"> </w:t>
      </w:r>
      <w:r w:rsidRPr="0004177D">
        <w:rPr>
          <w:rFonts w:cstheme="minorHAnsi"/>
          <w:color w:val="000000" w:themeColor="text1"/>
          <w:sz w:val="16"/>
          <w:szCs w:val="16"/>
          <w:shd w:val="clear" w:color="auto" w:fill="FFFFFF"/>
        </w:rPr>
        <w:t xml:space="preserve">The impacts of climate change on different sectors of society are interrelated. Drought can harm food production and human health. Flooding can lead to disease spread and damages to ecosystems and infrastructure. Human health issues can increase mortality, impact food availability, and limit worker productivity. </w:t>
      </w:r>
      <w:r>
        <w:rPr>
          <w:rFonts w:cstheme="minorHAnsi"/>
          <w:b/>
          <w:bCs/>
          <w:color w:val="333333"/>
          <w:sz w:val="16"/>
          <w:szCs w:val="16"/>
        </w:rPr>
        <w:t xml:space="preserve"> </w:t>
      </w:r>
      <w:r w:rsidRPr="0004177D">
        <w:rPr>
          <w:rFonts w:asciiTheme="minorHAnsi" w:hAnsiTheme="minorHAnsi" w:cstheme="minorHAnsi"/>
          <w:color w:val="000000"/>
          <w:sz w:val="16"/>
          <w:szCs w:val="16"/>
          <w:lang w:val="en-US"/>
        </w:rPr>
        <w:t xml:space="preserve">As climate change increases average global temperatures  and the oceans warm, fish populations are moving in search of cooler waters. That is part of the reason many fishermen and commercial boat industries have been catching and harvesting fish and seafood in areas very much outside the usual range and habitat of these species when they are available, because there is now a climate-induced scarcity of these species in other environments and areas. </w:t>
      </w:r>
      <w:r>
        <w:rPr>
          <w:rFonts w:asciiTheme="minorHAnsi" w:hAnsiTheme="minorHAnsi" w:cstheme="minorHAnsi"/>
          <w:color w:val="000000"/>
          <w:sz w:val="16"/>
          <w:szCs w:val="16"/>
        </w:rPr>
        <w:t xml:space="preserve"> </w:t>
      </w:r>
      <w:r w:rsidRPr="0004177D">
        <w:rPr>
          <w:rFonts w:asciiTheme="minorHAnsi" w:hAnsiTheme="minorHAnsi" w:cstheme="minorHAnsi"/>
          <w:color w:val="000000"/>
          <w:sz w:val="16"/>
          <w:szCs w:val="16"/>
          <w:lang w:val="en-US"/>
        </w:rPr>
        <w:t xml:space="preserve">These changes present various challenges to the aquaculture industry, which might need to adapt its business strategies, </w:t>
      </w:r>
      <w:proofErr w:type="gramStart"/>
      <w:r w:rsidRPr="0004177D">
        <w:rPr>
          <w:rFonts w:asciiTheme="minorHAnsi" w:hAnsiTheme="minorHAnsi" w:cstheme="minorHAnsi"/>
          <w:color w:val="000000"/>
          <w:sz w:val="16"/>
          <w:szCs w:val="16"/>
          <w:lang w:val="en-US"/>
        </w:rPr>
        <w:t>rely</w:t>
      </w:r>
      <w:proofErr w:type="gramEnd"/>
      <w:r w:rsidRPr="0004177D">
        <w:rPr>
          <w:rFonts w:asciiTheme="minorHAnsi" w:hAnsiTheme="minorHAnsi" w:cstheme="minorHAnsi"/>
          <w:color w:val="000000"/>
          <w:sz w:val="16"/>
          <w:szCs w:val="16"/>
          <w:lang w:val="en-US"/>
        </w:rPr>
        <w:t xml:space="preserve"> and be supported by studies that have a solid basis on sustainable practices and scientific principles that are also the support of policies, regulations and laws in our country and other places to develop sustainable practices that lead to a biodiversity environment in the ocean, fresh water and farmed aquaculture areas. </w:t>
      </w:r>
      <w:r w:rsidRPr="005F048D">
        <w:rPr>
          <w:rFonts w:asciiTheme="minorHAnsi" w:hAnsiTheme="minorHAnsi" w:cstheme="minorHAnsi"/>
          <w:b/>
          <w:bCs/>
          <w:color w:val="000000"/>
          <w:sz w:val="16"/>
          <w:szCs w:val="16"/>
        </w:rPr>
        <w:t>Findings:</w:t>
      </w:r>
      <w:r>
        <w:rPr>
          <w:rFonts w:asciiTheme="minorHAnsi" w:hAnsiTheme="minorHAnsi" w:cstheme="minorHAnsi"/>
          <w:b/>
          <w:bCs/>
          <w:color w:val="000000"/>
          <w:sz w:val="16"/>
          <w:szCs w:val="16"/>
        </w:rPr>
        <w:t xml:space="preserve"> </w:t>
      </w:r>
      <w:r w:rsidRPr="0004177D">
        <w:rPr>
          <w:rFonts w:asciiTheme="minorHAnsi" w:hAnsiTheme="minorHAnsi" w:cstheme="minorHAnsi"/>
          <w:color w:val="000000"/>
          <w:sz w:val="16"/>
          <w:szCs w:val="16"/>
          <w:lang w:val="en-US"/>
        </w:rPr>
        <w:t>The aquaculture industry is facing massive uncertainty for many reasons, as was briefly explained above. Fish populations are moving quickly to adapt to environmental challenges and, consequently, global practices needed to sustain the industry, the ecosystem, and global biodiversity in different areas are becoming unreliable.</w:t>
      </w:r>
      <w:r>
        <w:rPr>
          <w:rFonts w:cstheme="minorHAnsi"/>
          <w:b/>
          <w:bCs/>
          <w:color w:val="333333"/>
          <w:sz w:val="16"/>
          <w:szCs w:val="16"/>
        </w:rPr>
        <w:t xml:space="preserve"> </w:t>
      </w:r>
      <w:r w:rsidRPr="0004177D">
        <w:rPr>
          <w:rFonts w:asciiTheme="minorHAnsi" w:hAnsiTheme="minorHAnsi" w:cstheme="minorHAnsi"/>
          <w:color w:val="000000"/>
          <w:sz w:val="16"/>
          <w:szCs w:val="16"/>
          <w:lang w:val="en-US"/>
        </w:rPr>
        <w:t>Aquaculture in general offers many environmental benefits, relative to other forms of livestock farming. Additionally, marine aquaculture operations typically have a smaller carbon footprint, and require less land and fresh water. They are more efficient at converting feed into protein for human consumption than beef, pork, and poultry operations. The expansion of sustainable aquaculture is vital to increasing food production in a changing environment.</w:t>
      </w:r>
      <w:r>
        <w:rPr>
          <w:rFonts w:asciiTheme="minorHAnsi" w:hAnsiTheme="minorHAnsi" w:cstheme="minorHAnsi"/>
          <w:color w:val="000000"/>
          <w:sz w:val="16"/>
          <w:szCs w:val="16"/>
          <w:lang w:val="en-US"/>
        </w:rPr>
        <w:t xml:space="preserve"> </w:t>
      </w:r>
      <w:r w:rsidRPr="005F048D">
        <w:rPr>
          <w:rFonts w:asciiTheme="minorHAnsi" w:hAnsiTheme="minorHAnsi" w:cstheme="minorHAnsi"/>
          <w:b/>
          <w:bCs/>
          <w:sz w:val="16"/>
          <w:szCs w:val="16"/>
          <w:lang w:val="en-US"/>
        </w:rPr>
        <w:t>Conclusion &amp; Significance</w:t>
      </w:r>
      <w:r w:rsidRPr="005F048D">
        <w:rPr>
          <w:rFonts w:asciiTheme="minorHAnsi" w:hAnsiTheme="minorHAnsi" w:cstheme="minorHAnsi"/>
          <w:b/>
          <w:bCs/>
          <w:sz w:val="16"/>
          <w:szCs w:val="16"/>
          <w:lang w:val="en-US"/>
        </w:rPr>
        <w:t>:</w:t>
      </w:r>
      <w:r w:rsidRPr="005F048D">
        <w:rPr>
          <w:rFonts w:asciiTheme="minorHAnsi" w:hAnsiTheme="minorHAnsi" w:cstheme="minorHAnsi"/>
          <w:sz w:val="16"/>
          <w:szCs w:val="16"/>
          <w:lang w:val="en-US"/>
        </w:rPr>
        <w:t xml:space="preserve"> </w:t>
      </w:r>
      <w:r w:rsidR="0004177D" w:rsidRPr="005F048D">
        <w:rPr>
          <w:rFonts w:asciiTheme="minorHAnsi" w:hAnsiTheme="minorHAnsi" w:cstheme="minorHAnsi"/>
          <w:color w:val="000000"/>
          <w:sz w:val="16"/>
          <w:szCs w:val="16"/>
          <w:lang w:val="en-US"/>
        </w:rPr>
        <w:t>A</w:t>
      </w:r>
      <w:r w:rsidR="0004177D" w:rsidRPr="005F048D">
        <w:rPr>
          <w:rFonts w:cstheme="minorHAnsi"/>
          <w:color w:val="000000"/>
          <w:sz w:val="16"/>
          <w:szCs w:val="16"/>
          <w:lang w:val="en-US"/>
        </w:rPr>
        <w:t xml:space="preserve"> well-planned marine aquaculture farmed fish and seafood development and continuance  based on scientific principles of sustainability and biodiversity is vital for the environment, food production, and, consequently, the survival of the human species in our country and worldwide. </w:t>
      </w:r>
      <w:r w:rsidRPr="0004177D">
        <w:rPr>
          <w:rFonts w:asciiTheme="minorHAnsi" w:hAnsiTheme="minorHAnsi" w:cstheme="minorHAnsi"/>
          <w:color w:val="000000"/>
          <w:sz w:val="16"/>
          <w:szCs w:val="16"/>
          <w:lang w:val="en-US"/>
        </w:rPr>
        <w:t>At this present moment, we must assemble paragons of the global community, including scientists, regulators, government officials, and industry experts, to take immediate action. To have a passive attitude is going to cost  the human population high risks to food security, the survival of our own species, and many other species in aquatic and terrestrial ecosystems. The wellbeing of marine life must be considered and, consequently, the aquaculture practices at a worldwide level must be reviewed with consciousness, scientific basis, and an ample understanding of the current situation to take real, efficient actions to reverse (if possible) or to mitigate the challenges we already are facing.</w:t>
      </w:r>
      <w:r>
        <w:rPr>
          <w:rFonts w:asciiTheme="minorHAnsi" w:hAnsiTheme="minorHAnsi" w:cstheme="minorHAnsi"/>
          <w:color w:val="000000"/>
          <w:sz w:val="16"/>
          <w:szCs w:val="16"/>
          <w:lang w:val="en-US"/>
        </w:rPr>
        <w:t xml:space="preserve"> </w:t>
      </w:r>
      <w:r w:rsidRPr="0004177D">
        <w:rPr>
          <w:rFonts w:asciiTheme="minorHAnsi" w:hAnsiTheme="minorHAnsi" w:cstheme="minorHAnsi"/>
          <w:color w:val="000000"/>
          <w:sz w:val="16"/>
          <w:szCs w:val="16"/>
          <w:lang w:val="en-US"/>
        </w:rPr>
        <w:t>Marine aquaculture and aquaculture  practices in general must be efficient, sustainably developed, and supported for the benefit of the industry, our species, and our planet. The correct position is to go backwards 1 or more steps to move forward with our minds set in clear objectives for the benefit of the entire planet and our survival.</w:t>
      </w:r>
    </w:p>
    <w:p w14:paraId="6743EF3D" w14:textId="0AD37ED8" w:rsidR="00AE3E37" w:rsidRDefault="005F048D" w:rsidP="001249C1">
      <w:pPr>
        <w:pStyle w:val="Heading3"/>
        <w:spacing w:before="74"/>
        <w:ind w:left="0"/>
      </w:pPr>
      <w:r>
        <w:t>II. Biography:</w:t>
      </w:r>
    </w:p>
    <w:p w14:paraId="6122C567" w14:textId="0E3794E4" w:rsidR="00BC7303" w:rsidRPr="00BC7303" w:rsidRDefault="0004177D" w:rsidP="005F048D">
      <w:pPr>
        <w:widowControl/>
        <w:jc w:val="both"/>
        <w:rPr>
          <w:rFonts w:ascii="Calibri" w:hAnsi="Calibri"/>
          <w:bCs/>
          <w:sz w:val="18"/>
          <w:szCs w:val="18"/>
        </w:rPr>
      </w:pPr>
      <w:r>
        <w:rPr>
          <w:noProof/>
        </w:rPr>
        <w:t xml:space="preserve">    </w:t>
      </w:r>
      <w:r>
        <w:rPr>
          <w:rFonts w:ascii="Arial"/>
          <w:noProof/>
        </w:rPr>
        <w:drawing>
          <wp:inline distT="0" distB="0" distL="0" distR="0" wp14:anchorId="0E7A63D2" wp14:editId="4BCF0CAF">
            <wp:extent cx="793750" cy="914400"/>
            <wp:effectExtent l="0" t="0" r="6350" b="0"/>
            <wp:docPr id="3" name="Picture 3" descr="A person smiling for the camera&#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smiling for the camera&#10;&#10;Description automatically generated with low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93750" cy="914400"/>
                    </a:xfrm>
                    <a:prstGeom prst="rect">
                      <a:avLst/>
                    </a:prstGeom>
                  </pic:spPr>
                </pic:pic>
              </a:graphicData>
            </a:graphic>
          </wp:inline>
        </w:drawing>
      </w:r>
      <w:r w:rsidRPr="0004177D">
        <w:rPr>
          <w:rFonts w:ascii="Calibri" w:hAnsi="Calibri"/>
        </w:rPr>
        <w:t xml:space="preserve"> </w:t>
      </w:r>
      <w:r w:rsidRPr="00BC7303">
        <w:rPr>
          <w:rFonts w:ascii="Calibri" w:hAnsi="Calibri"/>
          <w:sz w:val="18"/>
          <w:szCs w:val="18"/>
        </w:rPr>
        <w:t>Product Regulatory Compliance Expert. Specialist in regulatory legal matters in the areas of Food Safety and Preventive Control for Food, fish, seafood and fishery products, Dietary Supplements Products. PhD in Food Safety Principles and Regulatory Compliance, with special focus in all regulatory matters applicable for FDA and USDA regulated products in the US. 3</w:t>
      </w:r>
      <w:r w:rsidR="00BC7303">
        <w:rPr>
          <w:rFonts w:ascii="Calibri" w:hAnsi="Calibri"/>
          <w:sz w:val="18"/>
          <w:szCs w:val="18"/>
        </w:rPr>
        <w:t>3</w:t>
      </w:r>
      <w:r w:rsidRPr="00BC7303">
        <w:rPr>
          <w:rFonts w:ascii="Calibri" w:hAnsi="Calibri"/>
          <w:sz w:val="18"/>
          <w:szCs w:val="18"/>
        </w:rPr>
        <w:t xml:space="preserve"> years of experience in Good Manufacturer Practices Manual, food, fish, seafood and fishery products and dietary supplement product safety, ingredients, import’s regulations to the US, Ingredients, additives, and food contact substances. Hazard analysis for specific industries such as: fish, seafood, meat, products including preventive controls, validation practices, monitoring and verification activities.</w:t>
      </w:r>
      <w:r w:rsidR="00BC7303" w:rsidRPr="00BC7303">
        <w:rPr>
          <w:rFonts w:ascii="Calibri" w:hAnsi="Calibri"/>
          <w:b/>
        </w:rPr>
        <w:t xml:space="preserve"> </w:t>
      </w:r>
      <w:r w:rsidR="00BC7303" w:rsidRPr="00BC7303">
        <w:rPr>
          <w:rFonts w:ascii="Calibri" w:hAnsi="Calibri"/>
          <w:bCs/>
          <w:sz w:val="16"/>
          <w:szCs w:val="16"/>
        </w:rPr>
        <w:t>Member of the</w:t>
      </w:r>
      <w:r w:rsidR="00BC7303">
        <w:rPr>
          <w:rFonts w:ascii="Calibri" w:hAnsi="Calibri"/>
          <w:b/>
        </w:rPr>
        <w:t xml:space="preserve"> </w:t>
      </w:r>
      <w:r w:rsidR="00BC7303" w:rsidRPr="00BC7303">
        <w:rPr>
          <w:rFonts w:ascii="Calibri" w:hAnsi="Calibri"/>
          <w:bCs/>
          <w:sz w:val="18"/>
          <w:szCs w:val="18"/>
        </w:rPr>
        <w:t>Executive Advisory Board of the FSPCA. USA</w:t>
      </w:r>
      <w:r w:rsidR="00BC7303">
        <w:rPr>
          <w:rFonts w:ascii="Calibri" w:hAnsi="Calibri"/>
          <w:bCs/>
          <w:sz w:val="18"/>
          <w:szCs w:val="18"/>
        </w:rPr>
        <w:t xml:space="preserve">, </w:t>
      </w:r>
      <w:r w:rsidR="00BC7303" w:rsidRPr="00BC7303">
        <w:rPr>
          <w:rFonts w:ascii="Calibri" w:hAnsi="Calibri"/>
          <w:bCs/>
          <w:sz w:val="18"/>
          <w:szCs w:val="18"/>
        </w:rPr>
        <w:t>Member of the Working Group for Auditors of GFSI</w:t>
      </w:r>
      <w:r w:rsidR="00BC7303">
        <w:rPr>
          <w:rFonts w:ascii="Calibri" w:hAnsi="Calibri"/>
          <w:bCs/>
          <w:sz w:val="18"/>
          <w:szCs w:val="18"/>
        </w:rPr>
        <w:t xml:space="preserve">, </w:t>
      </w:r>
      <w:r w:rsidR="00BC7303" w:rsidRPr="00BC7303">
        <w:rPr>
          <w:rFonts w:ascii="Calibri" w:hAnsi="Calibri" w:cs="Calibri"/>
          <w:bCs/>
          <w:color w:val="000000"/>
          <w:sz w:val="18"/>
          <w:szCs w:val="18"/>
          <w:lang w:eastAsia="es-ES"/>
        </w:rPr>
        <w:t>Member of the GFSI Technical Working Group on Auditor Training and Professional Development</w:t>
      </w:r>
      <w:r w:rsidR="00BC7303">
        <w:rPr>
          <w:rFonts w:ascii="Calibri" w:hAnsi="Calibri"/>
          <w:bCs/>
          <w:sz w:val="18"/>
          <w:szCs w:val="18"/>
        </w:rPr>
        <w:t xml:space="preserve">, </w:t>
      </w:r>
      <w:r w:rsidR="00BC7303" w:rsidRPr="00BC7303">
        <w:rPr>
          <w:rFonts w:ascii="Calibri" w:hAnsi="Calibri"/>
          <w:bCs/>
          <w:sz w:val="18"/>
          <w:szCs w:val="18"/>
        </w:rPr>
        <w:t>Lead Instructor for Food Defense Training (FSPCA) Alliance of the FDA</w:t>
      </w:r>
      <w:r w:rsidR="00BC7303">
        <w:rPr>
          <w:rFonts w:ascii="Calibri" w:hAnsi="Calibri"/>
          <w:bCs/>
          <w:sz w:val="18"/>
          <w:szCs w:val="18"/>
        </w:rPr>
        <w:t xml:space="preserve">, </w:t>
      </w:r>
      <w:r w:rsidR="00BC7303" w:rsidRPr="00BC7303">
        <w:rPr>
          <w:rFonts w:ascii="Calibri" w:hAnsi="Calibri"/>
          <w:bCs/>
          <w:sz w:val="18"/>
          <w:szCs w:val="18"/>
        </w:rPr>
        <w:t>Lead Chair of the International Working Group (Food Safety), for the FSPCA Alliance of the FDA</w:t>
      </w:r>
      <w:r w:rsidR="00BC7303">
        <w:rPr>
          <w:rFonts w:ascii="Calibri" w:hAnsi="Calibri"/>
          <w:bCs/>
          <w:sz w:val="18"/>
          <w:szCs w:val="18"/>
        </w:rPr>
        <w:t xml:space="preserve">, </w:t>
      </w:r>
      <w:r w:rsidR="00BC7303" w:rsidRPr="00BC7303">
        <w:rPr>
          <w:rFonts w:ascii="Calibri" w:hAnsi="Calibri"/>
          <w:bCs/>
          <w:sz w:val="18"/>
          <w:szCs w:val="18"/>
        </w:rPr>
        <w:t>Lead Technical Assessor for FSMA “International Accreditation Services”, USA</w:t>
      </w:r>
      <w:r w:rsidR="00BC7303">
        <w:rPr>
          <w:rFonts w:ascii="Calibri" w:hAnsi="Calibri"/>
          <w:bCs/>
          <w:sz w:val="18"/>
          <w:szCs w:val="18"/>
        </w:rPr>
        <w:t xml:space="preserve">, </w:t>
      </w:r>
      <w:proofErr w:type="spellStart"/>
      <w:r w:rsidR="00BC7303" w:rsidRPr="00BC7303">
        <w:rPr>
          <w:rFonts w:ascii="Calibri" w:hAnsi="Calibri"/>
          <w:bCs/>
          <w:sz w:val="18"/>
          <w:szCs w:val="18"/>
        </w:rPr>
        <w:t>ToT</w:t>
      </w:r>
      <w:proofErr w:type="spellEnd"/>
      <w:r w:rsidR="00BC7303" w:rsidRPr="00BC7303">
        <w:rPr>
          <w:rFonts w:ascii="Calibri" w:hAnsi="Calibri"/>
          <w:bCs/>
          <w:sz w:val="18"/>
          <w:szCs w:val="18"/>
        </w:rPr>
        <w:t xml:space="preserve"> (Trainer of Trainers) for Human Food for the FSPCA (FSMA)</w:t>
      </w:r>
      <w:r w:rsidR="00BC7303">
        <w:rPr>
          <w:rFonts w:ascii="Calibri" w:hAnsi="Calibri"/>
          <w:bCs/>
          <w:sz w:val="18"/>
          <w:szCs w:val="18"/>
        </w:rPr>
        <w:t xml:space="preserve">, </w:t>
      </w:r>
      <w:r w:rsidR="00BC7303" w:rsidRPr="00BC7303">
        <w:rPr>
          <w:rFonts w:ascii="Calibri" w:hAnsi="Calibri"/>
          <w:bCs/>
          <w:sz w:val="18"/>
          <w:szCs w:val="18"/>
        </w:rPr>
        <w:t>QUALIFIED FOOD SAFETY AUDITOR (FSMA)</w:t>
      </w:r>
      <w:r w:rsidR="00BC7303">
        <w:rPr>
          <w:rFonts w:ascii="Calibri" w:hAnsi="Calibri"/>
          <w:bCs/>
          <w:sz w:val="18"/>
          <w:szCs w:val="18"/>
        </w:rPr>
        <w:t xml:space="preserve">, </w:t>
      </w:r>
      <w:r w:rsidR="00BC7303" w:rsidRPr="00BC7303">
        <w:rPr>
          <w:rFonts w:ascii="Calibri" w:hAnsi="Calibri"/>
          <w:bCs/>
          <w:sz w:val="18"/>
          <w:szCs w:val="18"/>
        </w:rPr>
        <w:t>TRAINER OF TRAINER FOR FISH AND SEAFOOD HACCP (ALLIANCE RECOGNIZED BY THE FDA)</w:t>
      </w:r>
      <w:r w:rsidR="00BC7303">
        <w:rPr>
          <w:rFonts w:ascii="Calibri" w:hAnsi="Calibri"/>
          <w:bCs/>
          <w:sz w:val="18"/>
          <w:szCs w:val="18"/>
        </w:rPr>
        <w:t xml:space="preserve">, </w:t>
      </w:r>
      <w:r w:rsidR="00BC7303" w:rsidRPr="00BC7303">
        <w:rPr>
          <w:rFonts w:ascii="Calibri" w:hAnsi="Calibri"/>
          <w:bCs/>
          <w:sz w:val="18"/>
          <w:szCs w:val="18"/>
        </w:rPr>
        <w:t>TRAINER OF TRAINER FOR INTERNATIONAL HACCP ALLIANCE (Meat and poultry products)</w:t>
      </w:r>
      <w:r w:rsidR="00BC7303">
        <w:rPr>
          <w:rFonts w:ascii="Calibri" w:hAnsi="Calibri"/>
          <w:bCs/>
          <w:sz w:val="18"/>
          <w:szCs w:val="18"/>
        </w:rPr>
        <w:t xml:space="preserve">, </w:t>
      </w:r>
      <w:r w:rsidR="00BC7303" w:rsidRPr="00BC7303">
        <w:rPr>
          <w:rFonts w:ascii="Calibri" w:hAnsi="Calibri"/>
          <w:bCs/>
          <w:sz w:val="18"/>
          <w:szCs w:val="18"/>
        </w:rPr>
        <w:t>PSA LEAD TRAINER FOR THE PRODUCE SAFEFY RULE (PRODUCE SAFETY ALLIANCE/ FSMA)</w:t>
      </w:r>
      <w:r w:rsidR="00BC7303">
        <w:rPr>
          <w:rFonts w:ascii="Calibri" w:hAnsi="Calibri"/>
          <w:bCs/>
          <w:sz w:val="18"/>
          <w:szCs w:val="18"/>
        </w:rPr>
        <w:t xml:space="preserve">, </w:t>
      </w:r>
      <w:r w:rsidR="00BC7303" w:rsidRPr="00BC7303">
        <w:rPr>
          <w:rFonts w:ascii="Calibri" w:hAnsi="Calibri"/>
          <w:bCs/>
          <w:sz w:val="18"/>
          <w:szCs w:val="18"/>
        </w:rPr>
        <w:t>LEAD INSTRUCTOR (SPROUT ALLIANCE)</w:t>
      </w:r>
      <w:r w:rsidR="00BC7303">
        <w:rPr>
          <w:rFonts w:ascii="Calibri" w:hAnsi="Calibri"/>
          <w:bCs/>
          <w:sz w:val="18"/>
          <w:szCs w:val="18"/>
        </w:rPr>
        <w:t xml:space="preserve">, </w:t>
      </w:r>
      <w:r w:rsidR="00BC7303" w:rsidRPr="00BC7303">
        <w:rPr>
          <w:rFonts w:ascii="Calibri" w:hAnsi="Calibri"/>
          <w:bCs/>
          <w:sz w:val="18"/>
          <w:szCs w:val="18"/>
        </w:rPr>
        <w:t>LEAD INSTRUCTOR (FSVP</w:t>
      </w:r>
      <w:r w:rsidR="00BC7303">
        <w:rPr>
          <w:rFonts w:ascii="Calibri" w:hAnsi="Calibri"/>
          <w:bCs/>
          <w:sz w:val="18"/>
          <w:szCs w:val="18"/>
        </w:rPr>
        <w:t xml:space="preserve">), </w:t>
      </w:r>
      <w:r w:rsidR="00BC7303" w:rsidRPr="00BC7303">
        <w:rPr>
          <w:rFonts w:ascii="Calibri" w:hAnsi="Calibri"/>
          <w:bCs/>
          <w:sz w:val="18"/>
          <w:szCs w:val="18"/>
        </w:rPr>
        <w:t>LEAD INSTRUCTOR (ANIMAL FOOD) FSPC</w:t>
      </w:r>
      <w:r w:rsidR="00BC7303">
        <w:rPr>
          <w:rFonts w:ascii="Calibri" w:hAnsi="Calibri"/>
          <w:bCs/>
          <w:sz w:val="18"/>
          <w:szCs w:val="18"/>
        </w:rPr>
        <w:t xml:space="preserve">A, </w:t>
      </w:r>
      <w:r w:rsidR="00BC7303" w:rsidRPr="00BC7303">
        <w:rPr>
          <w:rFonts w:ascii="Calibri" w:hAnsi="Calibri"/>
          <w:bCs/>
          <w:sz w:val="18"/>
          <w:szCs w:val="18"/>
        </w:rPr>
        <w:t>BETTER PROCESS CONTROL SCHOOL FOR THE FDA: LACF/AF food products</w:t>
      </w:r>
      <w:r w:rsidR="00BC7303">
        <w:rPr>
          <w:rFonts w:ascii="Calibri" w:hAnsi="Calibri"/>
          <w:bCs/>
          <w:sz w:val="18"/>
          <w:szCs w:val="18"/>
        </w:rPr>
        <w:t xml:space="preserve">, </w:t>
      </w:r>
      <w:r w:rsidR="00BC7303" w:rsidRPr="00BC7303">
        <w:rPr>
          <w:rFonts w:ascii="Calibri" w:hAnsi="Calibri"/>
          <w:bCs/>
          <w:sz w:val="18"/>
          <w:szCs w:val="18"/>
        </w:rPr>
        <w:t>Lead Instructor for Food Defense (FSPCA)</w:t>
      </w:r>
      <w:r w:rsidR="00BC7303">
        <w:rPr>
          <w:rFonts w:ascii="Calibri" w:hAnsi="Calibri"/>
          <w:bCs/>
          <w:sz w:val="18"/>
          <w:szCs w:val="18"/>
        </w:rPr>
        <w:t xml:space="preserve">, </w:t>
      </w:r>
      <w:r w:rsidR="00BC7303" w:rsidRPr="00BC7303">
        <w:rPr>
          <w:rFonts w:ascii="Calibri" w:hAnsi="Calibri"/>
          <w:bCs/>
          <w:sz w:val="18"/>
          <w:szCs w:val="18"/>
        </w:rPr>
        <w:t>MEMBER OF THE International Work Group (IWG) of the International Committee of the FSPCA (FDA Alliances for FSMA)</w:t>
      </w:r>
      <w:r w:rsidR="00BC7303">
        <w:rPr>
          <w:rFonts w:ascii="Calibri" w:hAnsi="Calibri"/>
          <w:bCs/>
          <w:sz w:val="18"/>
          <w:szCs w:val="18"/>
        </w:rPr>
        <w:t xml:space="preserve">, </w:t>
      </w:r>
      <w:r w:rsidR="00BC7303" w:rsidRPr="00BC7303">
        <w:rPr>
          <w:rFonts w:ascii="Calibri" w:hAnsi="Calibri"/>
          <w:bCs/>
          <w:sz w:val="18"/>
          <w:szCs w:val="18"/>
        </w:rPr>
        <w:t>FOOD SAFETY EXPERT (FSE) of the FSPCA (Alliance for FSMA)</w:t>
      </w:r>
      <w:r w:rsidR="00BC7303">
        <w:rPr>
          <w:rFonts w:ascii="Calibri" w:hAnsi="Calibri"/>
          <w:bCs/>
          <w:sz w:val="18"/>
          <w:szCs w:val="18"/>
        </w:rPr>
        <w:t xml:space="preserve">, </w:t>
      </w:r>
      <w:r w:rsidR="00BC7303" w:rsidRPr="00BC7303">
        <w:rPr>
          <w:rFonts w:ascii="Calibri" w:hAnsi="Calibri"/>
          <w:bCs/>
          <w:sz w:val="18"/>
          <w:szCs w:val="18"/>
        </w:rPr>
        <w:t>TTT for Sanitation Operator (GMA)</w:t>
      </w:r>
      <w:r w:rsidR="00BC7303">
        <w:rPr>
          <w:rFonts w:ascii="Calibri" w:hAnsi="Calibri"/>
          <w:bCs/>
          <w:sz w:val="18"/>
          <w:szCs w:val="18"/>
        </w:rPr>
        <w:t xml:space="preserve">, </w:t>
      </w:r>
      <w:r w:rsidR="00BC7303" w:rsidRPr="00BC7303">
        <w:rPr>
          <w:rFonts w:ascii="Calibri" w:hAnsi="Calibri"/>
          <w:bCs/>
          <w:sz w:val="18"/>
          <w:szCs w:val="18"/>
        </w:rPr>
        <w:t>TTT for GMP’s (GMA)</w:t>
      </w:r>
      <w:r w:rsidR="00BC7303">
        <w:rPr>
          <w:rFonts w:ascii="Calibri" w:hAnsi="Calibri"/>
          <w:bCs/>
          <w:sz w:val="18"/>
          <w:szCs w:val="18"/>
        </w:rPr>
        <w:t xml:space="preserve">, </w:t>
      </w:r>
      <w:r w:rsidR="00BC7303" w:rsidRPr="00BC7303">
        <w:rPr>
          <w:rFonts w:ascii="Calibri" w:hAnsi="Calibri"/>
          <w:bCs/>
          <w:sz w:val="18"/>
          <w:szCs w:val="18"/>
        </w:rPr>
        <w:t>IHT Global Gap</w:t>
      </w:r>
      <w:r w:rsidR="00BC7303">
        <w:rPr>
          <w:rFonts w:ascii="Calibri" w:hAnsi="Calibri"/>
          <w:bCs/>
          <w:sz w:val="18"/>
          <w:szCs w:val="18"/>
        </w:rPr>
        <w:t xml:space="preserve">, </w:t>
      </w:r>
      <w:r w:rsidR="00BC7303" w:rsidRPr="00BC7303">
        <w:rPr>
          <w:rFonts w:ascii="Calibri" w:hAnsi="Calibri"/>
          <w:bCs/>
          <w:sz w:val="18"/>
          <w:szCs w:val="18"/>
        </w:rPr>
        <w:t>CO-Editor of the Cereals Magazine FDA, USA</w:t>
      </w:r>
      <w:r w:rsidR="00BC7303">
        <w:rPr>
          <w:rFonts w:ascii="Calibri" w:hAnsi="Calibri"/>
          <w:bCs/>
          <w:sz w:val="18"/>
          <w:szCs w:val="18"/>
        </w:rPr>
        <w:t xml:space="preserve">, </w:t>
      </w:r>
      <w:r w:rsidR="00BC7303" w:rsidRPr="00BC7303">
        <w:rPr>
          <w:rFonts w:ascii="Calibri" w:hAnsi="Calibri"/>
          <w:bCs/>
          <w:sz w:val="18"/>
          <w:szCs w:val="18"/>
        </w:rPr>
        <w:t>Global Gap: Head of Trainers</w:t>
      </w:r>
      <w:r w:rsidR="00BC7303">
        <w:rPr>
          <w:rFonts w:ascii="Calibri" w:hAnsi="Calibri"/>
          <w:bCs/>
          <w:sz w:val="18"/>
          <w:szCs w:val="18"/>
        </w:rPr>
        <w:t xml:space="preserve">, </w:t>
      </w:r>
      <w:r w:rsidR="00BC7303" w:rsidRPr="00BC7303">
        <w:rPr>
          <w:rFonts w:ascii="Calibri" w:hAnsi="Calibri"/>
          <w:bCs/>
          <w:sz w:val="18"/>
          <w:szCs w:val="18"/>
        </w:rPr>
        <w:t>PRESIDENT OF DEMOS GLOBAL GROUP, SL</w:t>
      </w:r>
      <w:r w:rsidR="00BC7303">
        <w:rPr>
          <w:rFonts w:ascii="Calibri" w:hAnsi="Calibri"/>
          <w:bCs/>
          <w:sz w:val="18"/>
          <w:szCs w:val="18"/>
        </w:rPr>
        <w:t>.</w:t>
      </w:r>
      <w:r w:rsidR="00BC7303" w:rsidRPr="00BC7303">
        <w:rPr>
          <w:rFonts w:ascii="Calibri" w:hAnsi="Calibri"/>
          <w:bCs/>
          <w:sz w:val="18"/>
          <w:szCs w:val="18"/>
        </w:rPr>
        <w:t xml:space="preserve"> (Officially accredited entity by the FDA for the FSMA-FDA food management system program) in the USA.</w:t>
      </w:r>
    </w:p>
    <w:p w14:paraId="05EDC97E" w14:textId="0DFBDF81" w:rsidR="0004177D" w:rsidRPr="00BC7303" w:rsidRDefault="0004177D" w:rsidP="0004177D">
      <w:pPr>
        <w:jc w:val="both"/>
        <w:rPr>
          <w:rFonts w:ascii="Calibri" w:hAnsi="Calibri"/>
          <w:sz w:val="18"/>
          <w:szCs w:val="18"/>
        </w:rPr>
      </w:pPr>
    </w:p>
    <w:p w14:paraId="72501D49" w14:textId="0E5795C2" w:rsidR="00AE3E37" w:rsidRPr="00BC7303" w:rsidRDefault="00AE3E37" w:rsidP="00404E5B">
      <w:pPr>
        <w:spacing w:before="92"/>
        <w:ind w:right="4234"/>
        <w:rPr>
          <w:rFonts w:ascii="Arial"/>
          <w:sz w:val="18"/>
          <w:szCs w:val="18"/>
        </w:rPr>
      </w:pPr>
    </w:p>
    <w:p w14:paraId="038DEEC8"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D8617AE" wp14:editId="2C474A8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6889E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770E2188" w14:textId="77777777" w:rsidR="00AE3E37" w:rsidRDefault="00AE3E37">
      <w:pPr>
        <w:pStyle w:val="BodyText"/>
        <w:rPr>
          <w:rFonts w:ascii="Arial"/>
          <w:sz w:val="20"/>
        </w:rPr>
      </w:pPr>
    </w:p>
    <w:p w14:paraId="7429450E" w14:textId="77777777" w:rsidR="00AE3E37" w:rsidRDefault="00AE3E37">
      <w:pPr>
        <w:pStyle w:val="BodyText"/>
        <w:rPr>
          <w:rFonts w:ascii="Arial"/>
          <w:sz w:val="20"/>
        </w:rPr>
      </w:pPr>
    </w:p>
    <w:p w14:paraId="6E4B2497" w14:textId="77777777" w:rsidR="00AE3E37" w:rsidRDefault="00AE3E37">
      <w:pPr>
        <w:pStyle w:val="BodyText"/>
        <w:spacing w:before="7"/>
        <w:rPr>
          <w:rFonts w:ascii="Arial"/>
          <w:sz w:val="29"/>
        </w:rPr>
      </w:pPr>
    </w:p>
    <w:p w14:paraId="7D4E5965" w14:textId="77777777" w:rsidR="00EA7D51" w:rsidRDefault="00EA7D51" w:rsidP="000534A1">
      <w:pPr>
        <w:spacing w:before="39"/>
        <w:ind w:left="100"/>
        <w:rPr>
          <w:rFonts w:ascii="Minion Pro"/>
          <w:b/>
          <w:sz w:val="20"/>
        </w:rPr>
      </w:pPr>
    </w:p>
    <w:p w14:paraId="41C86529" w14:textId="14F022E3"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5F048D">
        <w:rPr>
          <w:sz w:val="20"/>
          <w:szCs w:val="20"/>
          <w:lang w:val="en-NZ"/>
        </w:rPr>
        <w:t>Tania A Martinez</w:t>
      </w:r>
      <w:r w:rsidRPr="00F35A62">
        <w:rPr>
          <w:sz w:val="20"/>
          <w:szCs w:val="20"/>
          <w:lang w:val="en-NZ"/>
        </w:rPr>
        <w:br/>
        <w:t>Contact number:</w:t>
      </w:r>
      <w:r w:rsidR="005F048D">
        <w:rPr>
          <w:sz w:val="20"/>
          <w:szCs w:val="20"/>
          <w:lang w:val="en-NZ"/>
        </w:rPr>
        <w:t xml:space="preserve"> + 1 305 746 6198</w:t>
      </w:r>
      <w:r w:rsidRPr="00F35A62">
        <w:rPr>
          <w:sz w:val="20"/>
          <w:szCs w:val="20"/>
          <w:lang w:val="en-NZ"/>
        </w:rPr>
        <w:br/>
        <w:t>Twitter account:</w:t>
      </w:r>
      <w:r w:rsidRPr="00F35A62">
        <w:rPr>
          <w:sz w:val="20"/>
          <w:szCs w:val="20"/>
          <w:lang w:val="en-NZ"/>
        </w:rPr>
        <w:br/>
        <w:t>Linked In account:</w:t>
      </w:r>
    </w:p>
    <w:p w14:paraId="3FDDBE45" w14:textId="77777777"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 Poster presentation)</w:t>
      </w:r>
      <w:r w:rsidRPr="00F35A62">
        <w:rPr>
          <w:sz w:val="20"/>
          <w:szCs w:val="20"/>
          <w:lang w:val="en-NZ"/>
        </w:rPr>
        <w:br/>
      </w:r>
    </w:p>
    <w:p w14:paraId="38D937E1"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00419247"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F945F7" w14:textId="77777777" w:rsidR="005361F5" w:rsidRDefault="005361F5">
      <w:r>
        <w:separator/>
      </w:r>
    </w:p>
  </w:endnote>
  <w:endnote w:type="continuationSeparator" w:id="0">
    <w:p w14:paraId="4311769C" w14:textId="77777777" w:rsidR="005361F5" w:rsidRDefault="00536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EE742"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07CDCBD" wp14:editId="012D2F3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C4803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676F27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7CDCBD"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6DC4803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676F27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D78B123" wp14:editId="07D5EB5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73E61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04DD33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78B123"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0373E61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04DD33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C9282CA" wp14:editId="6BB0249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B2EBE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910E6D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9282CA"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26B2EBE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910E6D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F00EF5" w14:textId="77777777" w:rsidR="005361F5" w:rsidRDefault="005361F5">
      <w:r>
        <w:separator/>
      </w:r>
    </w:p>
  </w:footnote>
  <w:footnote w:type="continuationSeparator" w:id="0">
    <w:p w14:paraId="0098A48A" w14:textId="77777777" w:rsidR="005361F5" w:rsidRDefault="005361F5">
      <w:r>
        <w:continuationSeparator/>
      </w:r>
    </w:p>
  </w:footnote>
  <w:footnote w:id="1">
    <w:p w14:paraId="18185AF2" w14:textId="77777777" w:rsidR="005F048D" w:rsidRPr="0004177D" w:rsidRDefault="005F048D" w:rsidP="005F048D">
      <w:pPr>
        <w:pStyle w:val="FootnoteText"/>
        <w:jc w:val="both"/>
        <w:rPr>
          <w:rFonts w:cstheme="minorHAnsi"/>
          <w:sz w:val="16"/>
          <w:szCs w:val="16"/>
        </w:rPr>
      </w:pPr>
      <w:r w:rsidRPr="0004177D">
        <w:rPr>
          <w:rStyle w:val="FootnoteReference"/>
          <w:rFonts w:cstheme="minorHAnsi"/>
          <w:sz w:val="16"/>
          <w:szCs w:val="16"/>
        </w:rPr>
        <w:footnoteRef/>
      </w:r>
      <w:r w:rsidRPr="0004177D">
        <w:rPr>
          <w:rFonts w:cstheme="minorHAnsi"/>
          <w:sz w:val="16"/>
          <w:szCs w:val="16"/>
        </w:rPr>
        <w:t xml:space="preserve"> </w:t>
      </w:r>
      <w:hyperlink r:id="rId1" w:history="1">
        <w:r w:rsidRPr="0004177D">
          <w:rPr>
            <w:rFonts w:cstheme="minorHAnsi"/>
            <w:color w:val="0000FF"/>
            <w:sz w:val="16"/>
            <w:szCs w:val="16"/>
            <w:u w:val="single"/>
          </w:rPr>
          <w:t>ESRL Global Monitoring Laboratory - Education and Outreach (noaa.gov)</w:t>
        </w:r>
      </w:hyperlink>
    </w:p>
  </w:footnote>
  <w:footnote w:id="2">
    <w:p w14:paraId="7965B2D4" w14:textId="77777777" w:rsidR="005F048D" w:rsidRPr="0004177D" w:rsidRDefault="005F048D" w:rsidP="005F048D">
      <w:pPr>
        <w:pStyle w:val="FootnoteText"/>
        <w:jc w:val="both"/>
        <w:rPr>
          <w:rFonts w:cstheme="minorHAnsi"/>
          <w:sz w:val="16"/>
          <w:szCs w:val="16"/>
        </w:rPr>
      </w:pPr>
      <w:r w:rsidRPr="0004177D">
        <w:rPr>
          <w:rStyle w:val="FootnoteReference"/>
          <w:rFonts w:cstheme="minorHAnsi"/>
          <w:sz w:val="16"/>
          <w:szCs w:val="16"/>
        </w:rPr>
        <w:footnoteRef/>
      </w:r>
      <w:r w:rsidRPr="0004177D">
        <w:rPr>
          <w:rFonts w:cstheme="minorHAnsi"/>
          <w:sz w:val="16"/>
          <w:szCs w:val="16"/>
        </w:rPr>
        <w:t xml:space="preserve"> </w:t>
      </w:r>
      <w:hyperlink r:id="rId2" w:history="1">
        <w:r w:rsidRPr="0004177D">
          <w:rPr>
            <w:rFonts w:cstheme="minorHAnsi"/>
            <w:sz w:val="16"/>
            <w:szCs w:val="16"/>
          </w:rPr>
          <w:t>What is a gyre? (noaa.gov)</w:t>
        </w:r>
      </w:hyperlink>
    </w:p>
  </w:footnote>
  <w:footnote w:id="3">
    <w:p w14:paraId="4D8A62B4" w14:textId="77777777" w:rsidR="005F048D" w:rsidRPr="0004177D" w:rsidRDefault="005F048D" w:rsidP="005F048D">
      <w:pPr>
        <w:pStyle w:val="FootnoteText"/>
        <w:jc w:val="both"/>
        <w:rPr>
          <w:rFonts w:cstheme="minorHAnsi"/>
          <w:sz w:val="16"/>
          <w:szCs w:val="16"/>
        </w:rPr>
      </w:pPr>
      <w:r w:rsidRPr="0004177D">
        <w:rPr>
          <w:rStyle w:val="FootnoteReference"/>
          <w:rFonts w:cstheme="minorHAnsi"/>
          <w:sz w:val="16"/>
          <w:szCs w:val="16"/>
        </w:rPr>
        <w:footnoteRef/>
      </w:r>
      <w:r w:rsidRPr="0004177D">
        <w:rPr>
          <w:rFonts w:cstheme="minorHAnsi"/>
          <w:sz w:val="16"/>
          <w:szCs w:val="16"/>
        </w:rPr>
        <w:t xml:space="preserve"> </w:t>
      </w:r>
      <w:r w:rsidRPr="0004177D">
        <w:rPr>
          <w:rFonts w:cstheme="minorHAnsi"/>
          <w:sz w:val="16"/>
          <w:szCs w:val="16"/>
          <w:shd w:val="clear" w:color="auto" w:fill="FFFFFF"/>
        </w:rPr>
        <w:t>What is commonly referred to as "acidity" is the concentration of hydrogen ions (H</w:t>
      </w:r>
      <w:r w:rsidRPr="0004177D">
        <w:rPr>
          <w:rFonts w:cstheme="minorHAnsi"/>
          <w:sz w:val="16"/>
          <w:szCs w:val="16"/>
          <w:bdr w:val="none" w:sz="0" w:space="0" w:color="auto" w:frame="1"/>
          <w:shd w:val="clear" w:color="auto" w:fill="FFFFFF"/>
          <w:vertAlign w:val="superscript"/>
        </w:rPr>
        <w:t>+</w:t>
      </w:r>
      <w:r w:rsidRPr="0004177D">
        <w:rPr>
          <w:rFonts w:cstheme="minorHAnsi"/>
          <w:sz w:val="16"/>
          <w:szCs w:val="16"/>
          <w:shd w:val="clear" w:color="auto" w:fill="FFFFFF"/>
        </w:rPr>
        <w:t>). he concentration of hydrogen ions can vary across many orders of magnitude—from 1 to 0.00000000000001 </w:t>
      </w:r>
      <w:r w:rsidRPr="0004177D">
        <w:rPr>
          <w:rFonts w:cstheme="minorHAnsi"/>
          <w:sz w:val="16"/>
          <w:szCs w:val="16"/>
          <w:bdr w:val="none" w:sz="0" w:space="0" w:color="auto" w:frame="1"/>
          <w:shd w:val="clear" w:color="auto" w:fill="FFFFFF"/>
        </w:rPr>
        <w:t>moles</w:t>
      </w:r>
      <w:r w:rsidRPr="0004177D">
        <w:rPr>
          <w:rFonts w:cstheme="minorHAnsi"/>
          <w:sz w:val="16"/>
          <w:szCs w:val="16"/>
          <w:shd w:val="clear" w:color="auto" w:fill="FFFFFF"/>
        </w:rPr>
        <w:t> per liter—and we express acidity on a logarithmic scale called the pH scale. Because the pH scale is logarithmic (pH = -log[H</w:t>
      </w:r>
      <w:r w:rsidRPr="0004177D">
        <w:rPr>
          <w:rFonts w:cstheme="minorHAnsi"/>
          <w:sz w:val="16"/>
          <w:szCs w:val="16"/>
          <w:bdr w:val="none" w:sz="0" w:space="0" w:color="auto" w:frame="1"/>
          <w:shd w:val="clear" w:color="auto" w:fill="FFFFFF"/>
          <w:vertAlign w:val="superscript"/>
        </w:rPr>
        <w:t>+</w:t>
      </w:r>
      <w:r w:rsidRPr="0004177D">
        <w:rPr>
          <w:rFonts w:cstheme="minorHAnsi"/>
          <w:sz w:val="16"/>
          <w:szCs w:val="16"/>
          <w:shd w:val="clear" w:color="auto" w:fill="FFFFFF"/>
        </w:rPr>
        <w:t>]), a change of one pH unit corresponds to a ten-fold change in hydrogen ion concentration “</w:t>
      </w:r>
      <w:hyperlink r:id="rId3" w:history="1">
        <w:r w:rsidRPr="0004177D">
          <w:rPr>
            <w:rFonts w:cstheme="minorHAnsi"/>
            <w:sz w:val="16"/>
            <w:szCs w:val="16"/>
          </w:rPr>
          <w:t>A primer on pH (noaa.gov)</w:t>
        </w:r>
      </w:hyperlink>
      <w:r w:rsidRPr="0004177D">
        <w:rPr>
          <w:rFonts w:cstheme="minorHAnsi"/>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E71016C"/>
    <w:multiLevelType w:val="hybridMultilevel"/>
    <w:tmpl w:val="122CA5D6"/>
    <w:lvl w:ilvl="0" w:tplc="BCE05E2E">
      <w:start w:val="1"/>
      <w:numFmt w:val="upperRoman"/>
      <w:lvlText w:val="%1."/>
      <w:lvlJc w:val="left"/>
      <w:pPr>
        <w:ind w:left="2406" w:hanging="720"/>
      </w:pPr>
      <w:rPr>
        <w:rFonts w:hint="default"/>
      </w:rPr>
    </w:lvl>
    <w:lvl w:ilvl="1" w:tplc="04090019">
      <w:start w:val="1"/>
      <w:numFmt w:val="lowerLetter"/>
      <w:lvlText w:val="%2."/>
      <w:lvlJc w:val="left"/>
      <w:pPr>
        <w:ind w:left="2766" w:hanging="360"/>
      </w:pPr>
    </w:lvl>
    <w:lvl w:ilvl="2" w:tplc="0409001B" w:tentative="1">
      <w:start w:val="1"/>
      <w:numFmt w:val="lowerRoman"/>
      <w:lvlText w:val="%3."/>
      <w:lvlJc w:val="right"/>
      <w:pPr>
        <w:ind w:left="3486" w:hanging="180"/>
      </w:pPr>
    </w:lvl>
    <w:lvl w:ilvl="3" w:tplc="0409000F" w:tentative="1">
      <w:start w:val="1"/>
      <w:numFmt w:val="decimal"/>
      <w:lvlText w:val="%4."/>
      <w:lvlJc w:val="left"/>
      <w:pPr>
        <w:ind w:left="4206" w:hanging="360"/>
      </w:pPr>
    </w:lvl>
    <w:lvl w:ilvl="4" w:tplc="04090019" w:tentative="1">
      <w:start w:val="1"/>
      <w:numFmt w:val="lowerLetter"/>
      <w:lvlText w:val="%5."/>
      <w:lvlJc w:val="left"/>
      <w:pPr>
        <w:ind w:left="4926" w:hanging="360"/>
      </w:pPr>
    </w:lvl>
    <w:lvl w:ilvl="5" w:tplc="0409001B" w:tentative="1">
      <w:start w:val="1"/>
      <w:numFmt w:val="lowerRoman"/>
      <w:lvlText w:val="%6."/>
      <w:lvlJc w:val="right"/>
      <w:pPr>
        <w:ind w:left="5646" w:hanging="180"/>
      </w:pPr>
    </w:lvl>
    <w:lvl w:ilvl="6" w:tplc="0409000F" w:tentative="1">
      <w:start w:val="1"/>
      <w:numFmt w:val="decimal"/>
      <w:lvlText w:val="%7."/>
      <w:lvlJc w:val="left"/>
      <w:pPr>
        <w:ind w:left="6366" w:hanging="360"/>
      </w:pPr>
    </w:lvl>
    <w:lvl w:ilvl="7" w:tplc="04090019" w:tentative="1">
      <w:start w:val="1"/>
      <w:numFmt w:val="lowerLetter"/>
      <w:lvlText w:val="%8."/>
      <w:lvlJc w:val="left"/>
      <w:pPr>
        <w:ind w:left="7086" w:hanging="360"/>
      </w:pPr>
    </w:lvl>
    <w:lvl w:ilvl="8" w:tplc="0409001B" w:tentative="1">
      <w:start w:val="1"/>
      <w:numFmt w:val="lowerRoman"/>
      <w:lvlText w:val="%9."/>
      <w:lvlJc w:val="right"/>
      <w:pPr>
        <w:ind w:left="7806"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4177D"/>
    <w:rsid w:val="000534A1"/>
    <w:rsid w:val="0006797A"/>
    <w:rsid w:val="000B4CAA"/>
    <w:rsid w:val="000E2911"/>
    <w:rsid w:val="001249C1"/>
    <w:rsid w:val="001263DF"/>
    <w:rsid w:val="00292ED9"/>
    <w:rsid w:val="00351D9B"/>
    <w:rsid w:val="00380299"/>
    <w:rsid w:val="00404E5B"/>
    <w:rsid w:val="00414F7B"/>
    <w:rsid w:val="004355DC"/>
    <w:rsid w:val="004749B4"/>
    <w:rsid w:val="00475D20"/>
    <w:rsid w:val="00494130"/>
    <w:rsid w:val="004F3523"/>
    <w:rsid w:val="005361F5"/>
    <w:rsid w:val="00590D60"/>
    <w:rsid w:val="005973B9"/>
    <w:rsid w:val="005B3A56"/>
    <w:rsid w:val="005F048D"/>
    <w:rsid w:val="006060CE"/>
    <w:rsid w:val="0061505C"/>
    <w:rsid w:val="0063497F"/>
    <w:rsid w:val="00714354"/>
    <w:rsid w:val="00873DF0"/>
    <w:rsid w:val="008756E6"/>
    <w:rsid w:val="00897EC5"/>
    <w:rsid w:val="008A0763"/>
    <w:rsid w:val="008E5477"/>
    <w:rsid w:val="009B2D44"/>
    <w:rsid w:val="00A07E82"/>
    <w:rsid w:val="00A52075"/>
    <w:rsid w:val="00A56E9B"/>
    <w:rsid w:val="00A9710C"/>
    <w:rsid w:val="00AE3E37"/>
    <w:rsid w:val="00B21A57"/>
    <w:rsid w:val="00BC7303"/>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D09169"/>
  <w15:docId w15:val="{B09D0A10-86F6-40ED-A7C2-EAAEA3E75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04177D"/>
    <w:pPr>
      <w:widowControl/>
      <w:spacing w:before="100" w:beforeAutospacing="1" w:after="100" w:afterAutospacing="1"/>
    </w:pPr>
    <w:rPr>
      <w:rFonts w:ascii="Times New Roman" w:eastAsia="Times New Roman" w:hAnsi="Times New Roman" w:cs="Times New Roman"/>
      <w:sz w:val="24"/>
      <w:szCs w:val="24"/>
      <w:lang w:val="es-ES" w:eastAsia="es-ES"/>
    </w:rPr>
  </w:style>
  <w:style w:type="character" w:styleId="Strong">
    <w:name w:val="Strong"/>
    <w:basedOn w:val="DefaultParagraphFont"/>
    <w:uiPriority w:val="22"/>
    <w:qFormat/>
    <w:rsid w:val="0004177D"/>
    <w:rPr>
      <w:b/>
      <w:bCs/>
    </w:rPr>
  </w:style>
  <w:style w:type="paragraph" w:styleId="FootnoteText">
    <w:name w:val="footnote text"/>
    <w:basedOn w:val="Normal"/>
    <w:link w:val="FootnoteTextChar"/>
    <w:uiPriority w:val="99"/>
    <w:semiHidden/>
    <w:unhideWhenUsed/>
    <w:rsid w:val="0004177D"/>
    <w:pPr>
      <w:widowControl/>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04177D"/>
    <w:rPr>
      <w:sz w:val="20"/>
      <w:szCs w:val="20"/>
    </w:rPr>
  </w:style>
  <w:style w:type="character" w:styleId="FootnoteReference">
    <w:name w:val="footnote reference"/>
    <w:basedOn w:val="DefaultParagraphFont"/>
    <w:uiPriority w:val="99"/>
    <w:semiHidden/>
    <w:unhideWhenUsed/>
    <w:rsid w:val="000417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pmel.noaa.gov/co2/story/A+primer+on+pH" TargetMode="External"/><Relationship Id="rId2" Type="http://schemas.openxmlformats.org/officeDocument/2006/relationships/hyperlink" Target="https://oceanservice.noaa.gov/facts/gyre.html" TargetMode="External"/><Relationship Id="rId1" Type="http://schemas.openxmlformats.org/officeDocument/2006/relationships/hyperlink" Target="https://gml.noaa.gov/outreach/carbon_toolk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1150</Words>
  <Characters>6327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Demos Global Group SL</cp:lastModifiedBy>
  <cp:revision>2</cp:revision>
  <dcterms:created xsi:type="dcterms:W3CDTF">2022-01-12T09:39:00Z</dcterms:created>
  <dcterms:modified xsi:type="dcterms:W3CDTF">2022-01-12T09:39:00Z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