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EAF" w:rsidRDefault="00234EAF" w:rsidP="00234EAF">
      <w:pPr>
        <w:pStyle w:val="Heading1"/>
        <w:jc w:val="both"/>
        <w:rPr>
          <w:color w:val="4F81BD" w:themeColor="accent1"/>
          <w:szCs w:val="24"/>
        </w:rPr>
      </w:pPr>
      <w:r w:rsidRPr="00234EAF">
        <w:rPr>
          <w:color w:val="4F81BD" w:themeColor="accent1"/>
          <w:szCs w:val="24"/>
        </w:rPr>
        <w:t>Comparative analysis of Ulva supplemented diets in cultivation systems of catfish Clarias gariepinus (</w:t>
      </w:r>
      <w:r w:rsidRPr="00234EAF">
        <w:rPr>
          <w:rStyle w:val="HeaderChar"/>
          <w:rFonts w:ascii="Minion Pro" w:eastAsia="Minion Pro" w:hAnsi="Minion Pro" w:cs="Minion Pro"/>
          <w:color w:val="4F81BD" w:themeColor="accent1"/>
          <w:szCs w:val="24"/>
        </w:rPr>
        <w:t>Burchell</w:t>
      </w:r>
      <w:r w:rsidRPr="00234EAF">
        <w:rPr>
          <w:color w:val="4F81BD" w:themeColor="accent1"/>
          <w:szCs w:val="24"/>
        </w:rPr>
        <w:t>) fingerlings</w:t>
      </w:r>
    </w:p>
    <w:p w:rsidR="00FB38CA" w:rsidRDefault="00FB38CA" w:rsidP="00B3090B">
      <w:pPr>
        <w:pStyle w:val="NoSpacing"/>
        <w:rPr>
          <w:rFonts w:ascii="Arial" w:hAnsi="Arial" w:cs="Arial"/>
          <w:sz w:val="18"/>
          <w:szCs w:val="18"/>
        </w:rPr>
      </w:pPr>
    </w:p>
    <w:p w:rsidR="00234EAF" w:rsidRPr="00B3090B" w:rsidRDefault="00234EAF" w:rsidP="00B3090B">
      <w:pPr>
        <w:pStyle w:val="NoSpacing"/>
        <w:rPr>
          <w:rFonts w:ascii="Arial" w:hAnsi="Arial" w:cs="Arial"/>
          <w:sz w:val="18"/>
          <w:szCs w:val="18"/>
        </w:rPr>
      </w:pPr>
      <w:r w:rsidRPr="00B3090B">
        <w:rPr>
          <w:rFonts w:ascii="Arial" w:hAnsi="Arial" w:cs="Arial"/>
          <w:sz w:val="18"/>
          <w:szCs w:val="18"/>
        </w:rPr>
        <w:t xml:space="preserve">Albert O Amosu, </w:t>
      </w:r>
      <w:r w:rsidR="005973B9" w:rsidRPr="00B3090B">
        <w:rPr>
          <w:rFonts w:ascii="Arial" w:hAnsi="Arial" w:cs="Arial"/>
          <w:sz w:val="18"/>
          <w:szCs w:val="18"/>
        </w:rPr>
        <w:t xml:space="preserve">PhD, </w:t>
      </w:r>
      <w:r w:rsidRPr="00B3090B">
        <w:rPr>
          <w:rFonts w:ascii="Arial" w:hAnsi="Arial" w:cs="Arial"/>
          <w:sz w:val="18"/>
          <w:szCs w:val="18"/>
        </w:rPr>
        <w:t>Adeniran Ogunsanya Coll. Education</w:t>
      </w:r>
      <w:r w:rsidR="005973B9" w:rsidRPr="00B3090B">
        <w:rPr>
          <w:rFonts w:ascii="Arial" w:hAnsi="Arial" w:cs="Arial"/>
          <w:sz w:val="18"/>
          <w:szCs w:val="18"/>
        </w:rPr>
        <w:t xml:space="preserve">, </w:t>
      </w:r>
      <w:r w:rsidRPr="00B3090B">
        <w:rPr>
          <w:rFonts w:ascii="Arial" w:hAnsi="Arial" w:cs="Arial"/>
          <w:sz w:val="18"/>
          <w:szCs w:val="18"/>
        </w:rPr>
        <w:t>Nigeria</w:t>
      </w:r>
    </w:p>
    <w:p w:rsidR="005973B9" w:rsidRPr="00B3090B" w:rsidRDefault="00234EAF" w:rsidP="00B3090B">
      <w:pPr>
        <w:pStyle w:val="NoSpacing"/>
        <w:rPr>
          <w:rFonts w:ascii="Arial" w:hAnsi="Arial" w:cs="Arial"/>
          <w:sz w:val="18"/>
          <w:szCs w:val="18"/>
        </w:rPr>
      </w:pPr>
      <w:r w:rsidRPr="00B3090B">
        <w:rPr>
          <w:rFonts w:ascii="Arial" w:hAnsi="Arial" w:cs="Arial"/>
          <w:sz w:val="18"/>
          <w:szCs w:val="18"/>
        </w:rPr>
        <w:t>Ayofe M Hammed</w:t>
      </w:r>
      <w:r w:rsidR="005973B9" w:rsidRPr="00B3090B">
        <w:rPr>
          <w:rFonts w:ascii="Arial" w:hAnsi="Arial" w:cs="Arial"/>
          <w:sz w:val="18"/>
          <w:szCs w:val="18"/>
        </w:rPr>
        <w:t>, PhD,</w:t>
      </w:r>
      <w:r w:rsidRPr="00B3090B">
        <w:rPr>
          <w:rFonts w:ascii="Arial" w:hAnsi="Arial" w:cs="Arial"/>
          <w:sz w:val="18"/>
          <w:szCs w:val="18"/>
        </w:rPr>
        <w:t xml:space="preserve"> Lagos State University, Nigeria</w:t>
      </w:r>
    </w:p>
    <w:p w:rsidR="00234EAF" w:rsidRPr="00B3090B" w:rsidRDefault="00234EAF" w:rsidP="00B3090B">
      <w:pPr>
        <w:pStyle w:val="NoSpacing"/>
        <w:rPr>
          <w:rFonts w:ascii="Arial" w:hAnsi="Arial" w:cs="Arial"/>
          <w:sz w:val="18"/>
          <w:szCs w:val="18"/>
        </w:rPr>
      </w:pPr>
      <w:r w:rsidRPr="00B3090B">
        <w:rPr>
          <w:rFonts w:ascii="Arial" w:hAnsi="Arial" w:cs="Arial"/>
          <w:sz w:val="18"/>
          <w:szCs w:val="18"/>
        </w:rPr>
        <w:t>Gavin G Maneveldt, PhD, University of the Western Cape, South Africa</w:t>
      </w:r>
    </w:p>
    <w:p w:rsidR="00234EAF" w:rsidRPr="00B3090B" w:rsidRDefault="00234EAF" w:rsidP="00B3090B">
      <w:pPr>
        <w:pStyle w:val="NoSpacing"/>
        <w:rPr>
          <w:rFonts w:ascii="Arial" w:hAnsi="Arial" w:cs="Arial"/>
          <w:sz w:val="18"/>
          <w:szCs w:val="18"/>
        </w:rPr>
      </w:pPr>
      <w:r w:rsidRPr="00B3090B">
        <w:rPr>
          <w:rFonts w:ascii="Arial" w:hAnsi="Arial" w:cs="Arial"/>
          <w:sz w:val="18"/>
          <w:szCs w:val="18"/>
        </w:rPr>
        <w:t>Deborah V Robertson</w:t>
      </w:r>
      <w:r w:rsidR="00B804E3">
        <w:rPr>
          <w:rFonts w:ascii="Arial" w:hAnsi="Arial" w:cs="Arial"/>
          <w:sz w:val="18"/>
          <w:szCs w:val="18"/>
        </w:rPr>
        <w:t>-</w:t>
      </w:r>
      <w:r w:rsidRPr="00B3090B">
        <w:rPr>
          <w:rFonts w:ascii="Arial" w:hAnsi="Arial" w:cs="Arial"/>
          <w:sz w:val="18"/>
          <w:szCs w:val="18"/>
        </w:rPr>
        <w:t xml:space="preserve"> Andersson, Univerity of KwaZulu Natal, South Africa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34EAF" w:rsidRPr="00836817" w:rsidRDefault="00234EAF" w:rsidP="00234EAF">
      <w:pPr>
        <w:pStyle w:val="NoSpacing"/>
        <w:jc w:val="both"/>
        <w:rPr>
          <w:rFonts w:ascii="Tw Cen MT" w:hAnsi="Tw Cen MT"/>
          <w:sz w:val="18"/>
          <w:szCs w:val="18"/>
        </w:rPr>
      </w:pPr>
      <w:r w:rsidRPr="00836817">
        <w:rPr>
          <w:rFonts w:ascii="Tw Cen MT" w:hAnsi="Tw Cen MT"/>
          <w:sz w:val="18"/>
          <w:szCs w:val="18"/>
        </w:rPr>
        <w:t xml:space="preserve">This paper evaluated the efficacy of supplementing formulated diets with varied protein   contents of </w:t>
      </w:r>
      <w:r w:rsidRPr="00836817">
        <w:rPr>
          <w:rFonts w:ascii="Tw Cen MT" w:hAnsi="Tw Cen MT"/>
          <w:i/>
          <w:sz w:val="18"/>
          <w:szCs w:val="18"/>
        </w:rPr>
        <w:t>Ulva armoricana</w:t>
      </w:r>
      <w:r w:rsidRPr="00836817">
        <w:rPr>
          <w:rFonts w:ascii="Tw Cen MT" w:hAnsi="Tw Cen MT"/>
          <w:sz w:val="18"/>
          <w:szCs w:val="18"/>
        </w:rPr>
        <w:t xml:space="preserve"> in cultivation process of </w:t>
      </w:r>
      <w:r w:rsidRPr="00836817">
        <w:rPr>
          <w:rFonts w:ascii="Tw Cen MT" w:hAnsi="Tw Cen MT"/>
          <w:i/>
          <w:sz w:val="18"/>
          <w:szCs w:val="18"/>
        </w:rPr>
        <w:t>Clarias gariepinus</w:t>
      </w:r>
      <w:r w:rsidRPr="00836817">
        <w:rPr>
          <w:rFonts w:ascii="Tw Cen MT" w:hAnsi="Tw Cen MT"/>
          <w:sz w:val="18"/>
          <w:szCs w:val="18"/>
        </w:rPr>
        <w:t xml:space="preserve"> fingerlings utilizing farmed macroalgae as amino acid alternative and feed stimulant.  The catfish</w:t>
      </w:r>
      <w:r w:rsidRPr="00836817">
        <w:rPr>
          <w:rFonts w:ascii="Tw Cen MT" w:hAnsi="Tw Cen MT"/>
          <w:i/>
          <w:iCs/>
          <w:sz w:val="18"/>
          <w:szCs w:val="18"/>
        </w:rPr>
        <w:t xml:space="preserve"> </w:t>
      </w:r>
      <w:r w:rsidRPr="00836817">
        <w:rPr>
          <w:rFonts w:ascii="Tw Cen MT" w:hAnsi="Tw Cen MT"/>
          <w:sz w:val="18"/>
          <w:szCs w:val="18"/>
        </w:rPr>
        <w:t xml:space="preserve">were reared to reveal the comparative analysis of </w:t>
      </w:r>
      <w:r w:rsidRPr="00836817">
        <w:rPr>
          <w:rFonts w:ascii="Tw Cen MT" w:hAnsi="Tw Cen MT"/>
          <w:i/>
          <w:sz w:val="18"/>
          <w:szCs w:val="18"/>
        </w:rPr>
        <w:t>Ulva</w:t>
      </w:r>
      <w:r w:rsidRPr="00836817">
        <w:rPr>
          <w:rFonts w:ascii="Tw Cen MT" w:hAnsi="Tw Cen MT"/>
          <w:sz w:val="18"/>
          <w:szCs w:val="18"/>
        </w:rPr>
        <w:t xml:space="preserve"> fortified feeds and development response in farmed fish.  The designs were: {Industrial FeedK}, {35% CP feed (CL) + fresh </w:t>
      </w:r>
      <w:r w:rsidRPr="00836817">
        <w:rPr>
          <w:rFonts w:ascii="Tw Cen MT" w:hAnsi="Tw Cen MT"/>
          <w:i/>
          <w:iCs/>
          <w:sz w:val="18"/>
          <w:szCs w:val="18"/>
        </w:rPr>
        <w:t xml:space="preserve">Ulva </w:t>
      </w:r>
      <w:r w:rsidRPr="00836817">
        <w:rPr>
          <w:rFonts w:ascii="Tw Cen MT" w:hAnsi="Tw Cen MT"/>
          <w:iCs/>
          <w:sz w:val="18"/>
          <w:szCs w:val="18"/>
        </w:rPr>
        <w:t>(fU)</w:t>
      </w:r>
      <w:r w:rsidRPr="00836817">
        <w:rPr>
          <w:rFonts w:ascii="Tw Cen MT" w:hAnsi="Tw Cen MT"/>
          <w:i/>
          <w:iCs/>
          <w:sz w:val="18"/>
          <w:szCs w:val="18"/>
        </w:rPr>
        <w:t xml:space="preserve"> </w:t>
      </w:r>
      <w:r w:rsidRPr="00836817">
        <w:rPr>
          <w:rFonts w:ascii="Tw Cen MT" w:hAnsi="Tw Cen MT"/>
          <w:iCs/>
          <w:sz w:val="18"/>
          <w:szCs w:val="18"/>
        </w:rPr>
        <w:t>(</w:t>
      </w:r>
      <w:r w:rsidRPr="00836817">
        <w:rPr>
          <w:rFonts w:ascii="Tw Cen MT" w:hAnsi="Tw Cen MT"/>
          <w:sz w:val="18"/>
          <w:szCs w:val="18"/>
        </w:rPr>
        <w:t xml:space="preserve">CL + fU)}, {CL + fertilized </w:t>
      </w:r>
      <w:r w:rsidRPr="00836817">
        <w:rPr>
          <w:rFonts w:ascii="Tw Cen MT" w:hAnsi="Tw Cen MT"/>
          <w:i/>
          <w:iCs/>
          <w:sz w:val="18"/>
          <w:szCs w:val="18"/>
        </w:rPr>
        <w:t>Ulva</w:t>
      </w:r>
      <w:r w:rsidRPr="00836817">
        <w:rPr>
          <w:rFonts w:ascii="Tw Cen MT" w:hAnsi="Tw Cen MT"/>
          <w:iCs/>
          <w:sz w:val="18"/>
          <w:szCs w:val="18"/>
        </w:rPr>
        <w:t xml:space="preserve"> (FU)</w:t>
      </w:r>
      <w:r w:rsidRPr="00836817">
        <w:rPr>
          <w:rFonts w:ascii="Tw Cen MT" w:hAnsi="Tw Cen MT"/>
          <w:i/>
          <w:iCs/>
          <w:sz w:val="18"/>
          <w:szCs w:val="18"/>
        </w:rPr>
        <w:t xml:space="preserve"> </w:t>
      </w:r>
      <w:r w:rsidRPr="00836817">
        <w:rPr>
          <w:rFonts w:ascii="Tw Cen MT" w:hAnsi="Tw Cen MT"/>
          <w:iCs/>
          <w:sz w:val="18"/>
          <w:szCs w:val="18"/>
        </w:rPr>
        <w:t>(</w:t>
      </w:r>
      <w:r w:rsidRPr="00836817">
        <w:rPr>
          <w:rFonts w:ascii="Tw Cen MT" w:hAnsi="Tw Cen MT"/>
          <w:sz w:val="18"/>
          <w:szCs w:val="18"/>
        </w:rPr>
        <w:t>CL + FU</w:t>
      </w:r>
      <w:r w:rsidRPr="00836817">
        <w:rPr>
          <w:rFonts w:ascii="Tw Cen MT" w:hAnsi="Tw Cen MT"/>
          <w:iCs/>
          <w:sz w:val="18"/>
          <w:szCs w:val="18"/>
        </w:rPr>
        <w:t xml:space="preserve">)} and {Control </w:t>
      </w:r>
      <w:r w:rsidRPr="00836817">
        <w:rPr>
          <w:rFonts w:ascii="Tw Cen MT" w:hAnsi="Tw Cen MT"/>
          <w:sz w:val="18"/>
          <w:szCs w:val="18"/>
        </w:rPr>
        <w:t>CL)</w:t>
      </w:r>
      <w:r w:rsidR="00B3090B">
        <w:rPr>
          <w:rFonts w:ascii="Tw Cen MT" w:hAnsi="Tw Cen MT"/>
          <w:iCs/>
          <w:sz w:val="18"/>
          <w:szCs w:val="18"/>
        </w:rPr>
        <w:t xml:space="preserve">}. </w:t>
      </w:r>
      <w:r w:rsidRPr="00836817">
        <w:rPr>
          <w:rFonts w:ascii="Tw Cen MT" w:hAnsi="Tw Cen MT"/>
          <w:iCs/>
          <w:sz w:val="18"/>
          <w:szCs w:val="18"/>
        </w:rPr>
        <w:t>T</w:t>
      </w:r>
      <w:r w:rsidRPr="00836817">
        <w:rPr>
          <w:rFonts w:ascii="Tw Cen MT" w:hAnsi="Tw Cen MT"/>
          <w:sz w:val="18"/>
          <w:szCs w:val="18"/>
        </w:rPr>
        <w:t xml:space="preserve">he growth performance was satisfactory and fish consumed </w:t>
      </w:r>
      <w:r w:rsidRPr="00836817">
        <w:rPr>
          <w:rFonts w:ascii="Tw Cen MT" w:hAnsi="Tw Cen MT"/>
          <w:i/>
          <w:sz w:val="18"/>
          <w:szCs w:val="18"/>
        </w:rPr>
        <w:t xml:space="preserve">Ulva </w:t>
      </w:r>
      <w:r w:rsidRPr="00836817">
        <w:rPr>
          <w:rFonts w:ascii="Tw Cen MT" w:hAnsi="Tw Cen MT"/>
          <w:sz w:val="18"/>
          <w:szCs w:val="18"/>
        </w:rPr>
        <w:t xml:space="preserve">supplemented diet </w:t>
      </w:r>
      <w:r w:rsidRPr="00836817">
        <w:rPr>
          <w:rFonts w:ascii="Tw Cen MT" w:hAnsi="Tw Cen MT"/>
          <w:iCs/>
          <w:sz w:val="18"/>
          <w:szCs w:val="18"/>
        </w:rPr>
        <w:t>(</w:t>
      </w:r>
      <w:r w:rsidRPr="00836817">
        <w:rPr>
          <w:rFonts w:ascii="Tw Cen MT" w:hAnsi="Tw Cen MT"/>
          <w:sz w:val="18"/>
          <w:szCs w:val="18"/>
        </w:rPr>
        <w:t>CL + fU) to no extent losses in the body mass, % body mass, specific growth rates and nitrogen synthesis, compared to the remaining treatments</w:t>
      </w:r>
      <w:r w:rsidR="00B3090B">
        <w:rPr>
          <w:rFonts w:ascii="Tw Cen MT" w:hAnsi="Tw Cen MT"/>
          <w:sz w:val="18"/>
          <w:szCs w:val="18"/>
        </w:rPr>
        <w:t xml:space="preserve">. </w:t>
      </w:r>
      <w:r w:rsidRPr="00836817">
        <w:rPr>
          <w:rFonts w:ascii="Tw Cen MT" w:hAnsi="Tw Cen MT"/>
          <w:sz w:val="18"/>
          <w:szCs w:val="18"/>
        </w:rPr>
        <w:t xml:space="preserve">At a significant level (DNMRT; ANOVA; df = (n – 1); p </w:t>
      </w:r>
      <w:r w:rsidRPr="00836817">
        <w:rPr>
          <w:rFonts w:ascii="Tw Cen MT" w:hAnsi="Tw Cen MT"/>
          <w:sz w:val="18"/>
          <w:szCs w:val="18"/>
        </w:rPr>
        <w:sym w:font="Symbol" w:char="F03C"/>
      </w:r>
      <w:r w:rsidRPr="00836817">
        <w:rPr>
          <w:rFonts w:ascii="Tw Cen MT" w:hAnsi="Tw Cen MT"/>
          <w:sz w:val="18"/>
          <w:szCs w:val="18"/>
        </w:rPr>
        <w:t xml:space="preserve"> 0.05) observed for the food conversion ratio (FCR) and gross food conversion ratio (gFCR) throughout the treatments.  The FCR showed the most significant difference in the treatment CL (</w:t>
      </w:r>
      <w:r w:rsidRPr="00836817">
        <w:rPr>
          <w:rFonts w:ascii="Tw Cen MT" w:hAnsi="Tw Cen MT"/>
          <w:sz w:val="18"/>
          <w:szCs w:val="18"/>
          <w:lang w:val="en-GB"/>
        </w:rPr>
        <w:t>0.79 ± 2.39</w:t>
      </w:r>
      <w:r w:rsidRPr="00836817">
        <w:rPr>
          <w:rFonts w:ascii="Tw Cen MT" w:hAnsi="Tw Cen MT"/>
          <w:sz w:val="18"/>
          <w:szCs w:val="18"/>
        </w:rPr>
        <w:t>) come after by fish fed treatment CL + FU (</w:t>
      </w:r>
      <w:r w:rsidRPr="00836817">
        <w:rPr>
          <w:rFonts w:ascii="Tw Cen MT" w:hAnsi="Tw Cen MT"/>
          <w:sz w:val="18"/>
          <w:szCs w:val="18"/>
          <w:lang w:val="en-GB"/>
        </w:rPr>
        <w:t>1.75 ± 1.34</w:t>
      </w:r>
      <w:r w:rsidRPr="00836817">
        <w:rPr>
          <w:rFonts w:ascii="Tw Cen MT" w:hAnsi="Tw Cen MT"/>
          <w:sz w:val="18"/>
          <w:szCs w:val="18"/>
        </w:rPr>
        <w:t>) revealing how fishes consumed supplemented (CL + FU) treatment</w:t>
      </w:r>
      <w:r w:rsidRPr="00836817">
        <w:rPr>
          <w:rFonts w:ascii="Tw Cen MT" w:hAnsi="Tw Cen MT"/>
          <w:iCs/>
          <w:sz w:val="18"/>
          <w:szCs w:val="18"/>
        </w:rPr>
        <w:t xml:space="preserve"> more desirable than (</w:t>
      </w:r>
      <w:r w:rsidRPr="00836817">
        <w:rPr>
          <w:rFonts w:ascii="Tw Cen MT" w:hAnsi="Tw Cen MT"/>
          <w:sz w:val="18"/>
          <w:szCs w:val="18"/>
        </w:rPr>
        <w:t>CL + fU</w:t>
      </w:r>
      <w:r w:rsidRPr="00836817">
        <w:rPr>
          <w:rFonts w:ascii="Tw Cen MT" w:hAnsi="Tw Cen MT"/>
          <w:iCs/>
          <w:sz w:val="18"/>
          <w:szCs w:val="18"/>
        </w:rPr>
        <w:t>) and the Feed</w:t>
      </w:r>
      <w:r w:rsidRPr="00836817">
        <w:rPr>
          <w:rFonts w:ascii="Tw Cen MT" w:hAnsi="Tw Cen MT"/>
          <w:sz w:val="18"/>
          <w:szCs w:val="18"/>
        </w:rPr>
        <w:t xml:space="preserve">K treatment.  </w:t>
      </w:r>
      <w:r w:rsidRPr="00836817">
        <w:rPr>
          <w:rFonts w:ascii="Tw Cen MT" w:eastAsia="Times New Roman" w:hAnsi="Tw Cen MT"/>
          <w:sz w:val="18"/>
          <w:szCs w:val="18"/>
          <w:lang w:eastAsia="en-ZA"/>
        </w:rPr>
        <w:t xml:space="preserve">These indicate that </w:t>
      </w:r>
      <w:r w:rsidRPr="00836817">
        <w:rPr>
          <w:rFonts w:ascii="Tw Cen MT" w:hAnsi="Tw Cen MT"/>
          <w:i/>
          <w:iCs/>
          <w:sz w:val="18"/>
          <w:szCs w:val="18"/>
        </w:rPr>
        <w:t xml:space="preserve">Ulva armoricana </w:t>
      </w:r>
      <w:r w:rsidRPr="00836817">
        <w:rPr>
          <w:rFonts w:ascii="Tw Cen MT" w:eastAsia="Times New Roman" w:hAnsi="Tw Cen MT"/>
          <w:sz w:val="18"/>
          <w:szCs w:val="18"/>
          <w:lang w:eastAsia="en-ZA"/>
        </w:rPr>
        <w:t xml:space="preserve">has the qualities and therefore with capacity to be a resourceful feed catalyst </w:t>
      </w:r>
      <w:r w:rsidRPr="00836817">
        <w:rPr>
          <w:rFonts w:ascii="Tw Cen MT" w:hAnsi="Tw Cen MT"/>
          <w:sz w:val="18"/>
          <w:szCs w:val="18"/>
        </w:rPr>
        <w:t>when cultured in nutrient enhanced water.</w:t>
      </w: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color w:val="BF5A14"/>
        </w:rPr>
        <w:t>Image</w:t>
      </w:r>
    </w:p>
    <w:p w:rsidR="00FB38CA" w:rsidRDefault="00FB38CA">
      <w:pPr>
        <w:pStyle w:val="Heading3"/>
        <w:spacing w:before="74"/>
      </w:pPr>
    </w:p>
    <w:p w:rsidR="00234EAF" w:rsidRDefault="00234EAF">
      <w:pPr>
        <w:pStyle w:val="Heading3"/>
        <w:spacing w:before="74"/>
      </w:pPr>
      <w:r>
        <w:rPr>
          <w:rFonts w:ascii="Tw Cen MT" w:hAnsi="Tw Cen MT" w:cs="Times New Roman"/>
          <w:b w:val="0"/>
          <w:noProof/>
          <w:sz w:val="18"/>
          <w:szCs w:val="18"/>
        </w:rPr>
        <w:drawing>
          <wp:inline distT="0" distB="0" distL="0" distR="0">
            <wp:extent cx="3114675" cy="2085975"/>
            <wp:effectExtent l="19050" t="0" r="9525" b="0"/>
            <wp:docPr id="11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B38CA" w:rsidRDefault="00FB38CA">
      <w:pPr>
        <w:pStyle w:val="BodyText"/>
        <w:spacing w:before="2"/>
        <w:rPr>
          <w:rFonts w:ascii="Arial"/>
          <w:b/>
          <w:sz w:val="16"/>
        </w:rPr>
      </w:pPr>
    </w:p>
    <w:p w:rsidR="00FB38CA" w:rsidRDefault="00FB38CA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lastRenderedPageBreak/>
        <w:drawing>
          <wp:inline distT="0" distB="0" distL="0" distR="0">
            <wp:extent cx="3248025" cy="1704975"/>
            <wp:effectExtent l="19050" t="0" r="9525" b="0"/>
            <wp:docPr id="15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2E5006" w:rsidRPr="00810B46" w:rsidRDefault="002E5006" w:rsidP="002E5006">
      <w:pPr>
        <w:pStyle w:val="NoSpacing"/>
        <w:numPr>
          <w:ilvl w:val="0"/>
          <w:numId w:val="3"/>
        </w:numPr>
        <w:jc w:val="both"/>
        <w:rPr>
          <w:sz w:val="18"/>
          <w:szCs w:val="18"/>
        </w:rPr>
      </w:pPr>
      <w:r w:rsidRPr="00810B46">
        <w:rPr>
          <w:sz w:val="18"/>
          <w:szCs w:val="18"/>
        </w:rPr>
        <w:t xml:space="preserve">Ayofe M. Hammed, Albert O. Amosu and James Ayuk (2020). The effects of   detergent and    fertilizer toxicity on growth rate, nutrient utilization and survival of </w:t>
      </w:r>
      <w:r w:rsidRPr="00810B46">
        <w:rPr>
          <w:rStyle w:val="Emphasis"/>
          <w:rFonts w:asciiTheme="minorHAnsi" w:hAnsiTheme="minorHAnsi" w:cs="Tahoma"/>
          <w:bCs/>
          <w:sz w:val="18"/>
          <w:szCs w:val="18"/>
        </w:rPr>
        <w:t>Clarias gariepinus</w:t>
      </w:r>
      <w:r w:rsidRPr="00810B46">
        <w:rPr>
          <w:sz w:val="18"/>
          <w:szCs w:val="18"/>
        </w:rPr>
        <w:t xml:space="preserve"> (Burchell) fingerlings reared under controlled condition. </w:t>
      </w:r>
      <w:r w:rsidRPr="00810B46">
        <w:rPr>
          <w:i/>
          <w:sz w:val="18"/>
          <w:szCs w:val="18"/>
        </w:rPr>
        <w:t>Int J Fish Aquat Stud.</w:t>
      </w:r>
      <w:r w:rsidRPr="00810B46">
        <w:rPr>
          <w:sz w:val="18"/>
          <w:szCs w:val="18"/>
        </w:rPr>
        <w:t xml:space="preserve"> 8(3):372-378.                   </w:t>
      </w:r>
    </w:p>
    <w:p w:rsidR="002E5006" w:rsidRPr="00810B46" w:rsidRDefault="002E5006" w:rsidP="002E5006">
      <w:pPr>
        <w:pStyle w:val="NoSpacing"/>
        <w:numPr>
          <w:ilvl w:val="0"/>
          <w:numId w:val="3"/>
        </w:numPr>
        <w:jc w:val="both"/>
        <w:rPr>
          <w:sz w:val="18"/>
          <w:szCs w:val="18"/>
        </w:rPr>
      </w:pPr>
      <w:r w:rsidRPr="00810B46">
        <w:rPr>
          <w:sz w:val="18"/>
          <w:szCs w:val="18"/>
        </w:rPr>
        <w:t>Ayofe. M. Hammed  and Albert O Amosu (2020)</w:t>
      </w:r>
      <w:r w:rsidRPr="00810B46">
        <w:rPr>
          <w:rStyle w:val="HTMLCite"/>
          <w:rFonts w:asciiTheme="minorHAnsi" w:hAnsiTheme="minorHAnsi" w:cs="Tahoma"/>
          <w:sz w:val="18"/>
          <w:szCs w:val="18"/>
        </w:rPr>
        <w:t xml:space="preserve"> </w:t>
      </w:r>
      <w:r w:rsidRPr="00810B46">
        <w:rPr>
          <w:sz w:val="18"/>
          <w:szCs w:val="18"/>
        </w:rPr>
        <w:t>Comparative Approximate, Protein and Inorganic Constituents in Freshwater Clariids (</w:t>
      </w:r>
      <w:r w:rsidRPr="00810B46">
        <w:rPr>
          <w:i/>
          <w:iCs/>
          <w:sz w:val="18"/>
          <w:szCs w:val="18"/>
        </w:rPr>
        <w:t xml:space="preserve">Chrysichthys nigrodigitatus </w:t>
      </w:r>
      <w:r w:rsidRPr="00810B46">
        <w:rPr>
          <w:sz w:val="18"/>
          <w:szCs w:val="18"/>
        </w:rPr>
        <w:t xml:space="preserve">and </w:t>
      </w:r>
      <w:r w:rsidRPr="00810B46">
        <w:rPr>
          <w:i/>
          <w:iCs/>
          <w:sz w:val="18"/>
          <w:szCs w:val="18"/>
        </w:rPr>
        <w:t>Clarias gariepinus</w:t>
      </w:r>
      <w:r w:rsidRPr="00810B46">
        <w:rPr>
          <w:sz w:val="18"/>
          <w:szCs w:val="18"/>
        </w:rPr>
        <w:t xml:space="preserve">) of Coastal Water. </w:t>
      </w:r>
      <w:r w:rsidRPr="00810B46">
        <w:rPr>
          <w:i/>
          <w:sz w:val="18"/>
          <w:szCs w:val="18"/>
        </w:rPr>
        <w:t>Journal of Fisheries International.</w:t>
      </w:r>
      <w:r w:rsidRPr="00810B46">
        <w:rPr>
          <w:sz w:val="18"/>
          <w:szCs w:val="18"/>
        </w:rPr>
        <w:t xml:space="preserve"> 15(2):14-21. </w:t>
      </w:r>
      <w:r w:rsidRPr="00810B46">
        <w:rPr>
          <w:rStyle w:val="text-gray-800"/>
          <w:rFonts w:asciiTheme="minorHAnsi" w:hAnsiTheme="minorHAnsi" w:cs="Tahoma"/>
          <w:sz w:val="18"/>
          <w:szCs w:val="18"/>
        </w:rPr>
        <w:t>DOI:</w:t>
      </w:r>
      <w:hyperlink r:id="rId10" w:tgtFrame="_blank" w:tooltip="10.36478/jfish.2020.14.21" w:history="1">
        <w:r w:rsidRPr="00810B46">
          <w:rPr>
            <w:rStyle w:val="Hyperlink"/>
            <w:rFonts w:asciiTheme="minorHAnsi" w:hAnsiTheme="minorHAnsi"/>
            <w:sz w:val="18"/>
            <w:szCs w:val="18"/>
          </w:rPr>
          <w:t xml:space="preserve">10.36478/jfish.2020.14.21 </w:t>
        </w:r>
      </w:hyperlink>
    </w:p>
    <w:p w:rsidR="002E5006" w:rsidRPr="00810B46" w:rsidRDefault="002E5006" w:rsidP="002E5006">
      <w:pPr>
        <w:pStyle w:val="NoSpacing"/>
        <w:numPr>
          <w:ilvl w:val="0"/>
          <w:numId w:val="3"/>
        </w:numPr>
        <w:jc w:val="both"/>
        <w:rPr>
          <w:sz w:val="18"/>
          <w:szCs w:val="18"/>
        </w:rPr>
      </w:pPr>
      <w:r w:rsidRPr="00810B46">
        <w:rPr>
          <w:sz w:val="18"/>
          <w:szCs w:val="18"/>
        </w:rPr>
        <w:t>Hammed A.M, Awe F.A, Amosu A.O, Ibrahim U.B (2020). Evaluation of the Nutritional composition (Proximate, Mineral and Amino acids) of Tilapinis (</w:t>
      </w:r>
      <w:r w:rsidRPr="00810B46">
        <w:rPr>
          <w:i/>
          <w:iCs/>
          <w:sz w:val="18"/>
          <w:szCs w:val="18"/>
        </w:rPr>
        <w:t xml:space="preserve">Tilapia zillii </w:t>
      </w:r>
      <w:r w:rsidRPr="00810B46">
        <w:rPr>
          <w:sz w:val="18"/>
          <w:szCs w:val="18"/>
        </w:rPr>
        <w:t xml:space="preserve">and </w:t>
      </w:r>
      <w:r w:rsidRPr="00810B46">
        <w:rPr>
          <w:i/>
          <w:iCs/>
          <w:sz w:val="18"/>
          <w:szCs w:val="18"/>
        </w:rPr>
        <w:t>Sarotherodon galilaeus</w:t>
      </w:r>
      <w:r w:rsidRPr="00810B46">
        <w:rPr>
          <w:sz w:val="18"/>
          <w:szCs w:val="18"/>
        </w:rPr>
        <w:t xml:space="preserve">) in Badagry creek, Lagos, Nigeria. </w:t>
      </w:r>
      <w:r w:rsidRPr="00810B46">
        <w:rPr>
          <w:i/>
          <w:sz w:val="18"/>
          <w:szCs w:val="18"/>
        </w:rPr>
        <w:t>Journal of Fisheries and Aquaculture Research</w:t>
      </w:r>
      <w:r w:rsidRPr="00810B46">
        <w:rPr>
          <w:sz w:val="18"/>
          <w:szCs w:val="18"/>
        </w:rPr>
        <w:t xml:space="preserve">. 5(1): 071-078.    </w:t>
      </w:r>
    </w:p>
    <w:p w:rsidR="002E5006" w:rsidRPr="00810B46" w:rsidRDefault="002E5006" w:rsidP="002E5006">
      <w:pPr>
        <w:pStyle w:val="NoSpacing"/>
        <w:numPr>
          <w:ilvl w:val="0"/>
          <w:numId w:val="3"/>
        </w:numPr>
        <w:jc w:val="both"/>
        <w:rPr>
          <w:sz w:val="18"/>
          <w:szCs w:val="18"/>
        </w:rPr>
      </w:pPr>
      <w:r w:rsidRPr="00810B46">
        <w:rPr>
          <w:sz w:val="18"/>
          <w:szCs w:val="18"/>
        </w:rPr>
        <w:t>Hammed, A.M, Owodeinde, F.G, Amosu, A.O, Awe, F.A and Fashina-Bombata H.A (2019). Chemical and Microbial Quality Assessments of Some Economic Important Artisanal Fresh Fish Species (</w:t>
      </w:r>
      <w:r w:rsidRPr="00810B46">
        <w:rPr>
          <w:i/>
          <w:sz w:val="18"/>
          <w:szCs w:val="18"/>
        </w:rPr>
        <w:t>Tilapia zilli</w:t>
      </w:r>
      <w:r w:rsidRPr="00810B46">
        <w:rPr>
          <w:sz w:val="18"/>
          <w:szCs w:val="18"/>
        </w:rPr>
        <w:t xml:space="preserve">, </w:t>
      </w:r>
      <w:r w:rsidRPr="00810B46">
        <w:rPr>
          <w:i/>
          <w:sz w:val="18"/>
          <w:szCs w:val="18"/>
        </w:rPr>
        <w:t>Clarias gariepinus</w:t>
      </w:r>
      <w:r w:rsidRPr="00810B46">
        <w:rPr>
          <w:sz w:val="18"/>
          <w:szCs w:val="18"/>
        </w:rPr>
        <w:t xml:space="preserve">, </w:t>
      </w:r>
      <w:r w:rsidRPr="00810B46">
        <w:rPr>
          <w:i/>
          <w:sz w:val="18"/>
          <w:szCs w:val="18"/>
        </w:rPr>
        <w:t xml:space="preserve">Chrysichthys nigrodigitatus </w:t>
      </w:r>
      <w:r w:rsidRPr="00810B46">
        <w:rPr>
          <w:sz w:val="18"/>
          <w:szCs w:val="18"/>
        </w:rPr>
        <w:t>and</w:t>
      </w:r>
      <w:r w:rsidRPr="00810B46">
        <w:rPr>
          <w:i/>
          <w:sz w:val="18"/>
          <w:szCs w:val="18"/>
        </w:rPr>
        <w:t xml:space="preserve"> S. melanotheron</w:t>
      </w:r>
      <w:r w:rsidRPr="00810B46">
        <w:rPr>
          <w:sz w:val="18"/>
          <w:szCs w:val="18"/>
        </w:rPr>
        <w:t xml:space="preserve">) in Selected Coastal Markets of Lagos State, Nigeria. </w:t>
      </w:r>
      <w:r w:rsidRPr="00810B46">
        <w:rPr>
          <w:i/>
          <w:sz w:val="18"/>
          <w:szCs w:val="18"/>
        </w:rPr>
        <w:t>Fish Aquac. J.</w:t>
      </w:r>
      <w:r w:rsidRPr="00810B46">
        <w:rPr>
          <w:sz w:val="18"/>
          <w:szCs w:val="18"/>
        </w:rPr>
        <w:t xml:space="preserve"> 10 (2):268. doi: 104172/2150-3508:1000268.                                                   </w:t>
      </w:r>
    </w:p>
    <w:p w:rsidR="005973B9" w:rsidRDefault="002E5006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10B46">
        <w:rPr>
          <w:sz w:val="18"/>
          <w:szCs w:val="18"/>
        </w:rPr>
        <w:t xml:space="preserve">Amosu, A.O., A.M. Hammed, K.A. Togunde, O.O. Joseph and A. Adekoya, (2017). Possible aquaculture development in Nigeria: Evidence for commercial prospects. </w:t>
      </w:r>
      <w:r w:rsidRPr="00810B46">
        <w:rPr>
          <w:i/>
          <w:sz w:val="18"/>
          <w:szCs w:val="18"/>
        </w:rPr>
        <w:t>J. Agric. Sci. Technol. B</w:t>
      </w:r>
      <w:r w:rsidRPr="00810B46">
        <w:rPr>
          <w:sz w:val="18"/>
          <w:szCs w:val="18"/>
        </w:rPr>
        <w:t>, 7: 194-205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6D4A4B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6D4A4B" w:rsidP="00404E5B">
      <w:pPr>
        <w:spacing w:before="92"/>
        <w:ind w:right="4234"/>
        <w:rPr>
          <w:rFonts w:ascii="Arial"/>
        </w:rPr>
      </w:pPr>
      <w:r w:rsidRPr="006D4A4B">
        <w:rPr>
          <w:rFonts w:ascii="Times New Roman" w:hAnsi="Times New Roman" w:cs="Times New Roman"/>
          <w:noProof/>
          <w:sz w:val="24"/>
          <w:szCs w:val="24"/>
        </w:rPr>
        <w:pict>
          <v:roundrect id="Rounded Rectangle 2" o:spid="_x0000_s1029" style="position:absolute;margin-left:445.35pt;margin-top:4.45pt;width:79.7pt;height:48.95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<v:shadow color="#868686"/>
            <v:textbox>
              <w:txbxContent>
                <w:p w:rsidR="00A52075" w:rsidRDefault="00F04275" w:rsidP="00A52075">
                  <w:pPr>
                    <w:rPr>
                      <w:b/>
                      <w:color w:val="0000FF"/>
                      <w:lang w:val="en-IN"/>
                    </w:rPr>
                  </w:pPr>
                  <w:r w:rsidRPr="00F04275">
                    <w:rPr>
                      <w:b/>
                      <w:color w:val="0000FF"/>
                      <w:lang w:val="en-IN"/>
                    </w:rPr>
                    <w:drawing>
                      <wp:inline distT="0" distB="0" distL="0" distR="0">
                        <wp:extent cx="753745" cy="447675"/>
                        <wp:effectExtent l="19050" t="0" r="8255" b="0"/>
                        <wp:docPr id="3" name="Picture 1" descr="http://alertnaija.com/wp-content/uploads/Adenira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alertnaija.com/wp-content/uploads/Adenira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3745" cy="44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450FB1"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657225" cy="676275"/>
            <wp:effectExtent l="19050" t="0" r="9525" b="0"/>
            <wp:docPr id="18" name="Picture 18" descr="Picss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ssss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4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26347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Albert Amosu </w:t>
      </w:r>
      <w:r w:rsidR="00A9710C">
        <w:rPr>
          <w:rFonts w:ascii="Arial"/>
          <w:sz w:val="14"/>
        </w:rPr>
        <w:t>has h</w:t>
      </w:r>
      <w:r>
        <w:rPr>
          <w:rFonts w:ascii="Arial"/>
          <w:sz w:val="14"/>
        </w:rPr>
        <w:t>is</w:t>
      </w:r>
      <w:r w:rsidR="00A9710C">
        <w:rPr>
          <w:rFonts w:ascii="Arial"/>
          <w:sz w:val="14"/>
        </w:rPr>
        <w:t xml:space="preserve"> expertise </w:t>
      </w:r>
      <w:r w:rsidR="0078510E">
        <w:rPr>
          <w:rFonts w:ascii="Arial"/>
          <w:sz w:val="14"/>
        </w:rPr>
        <w:t xml:space="preserve">in integrated seaweed </w:t>
      </w:r>
      <w:r>
        <w:rPr>
          <w:rFonts w:ascii="Arial"/>
          <w:sz w:val="14"/>
        </w:rPr>
        <w:t>Aquaculture He has</w:t>
      </w:r>
      <w:r w:rsidRPr="0026347F">
        <w:rPr>
          <w:rFonts w:ascii="Arial" w:hAnsi="Arial" w:cs="Arial"/>
          <w:sz w:val="14"/>
          <w:szCs w:val="14"/>
        </w:rPr>
        <w:t xml:space="preserve"> a broad area of research interest in natural science covering Integrated Aquaculture/ Fisheries &amp; Environmental Resource Management. About 20 years of experience in academics and research with scholarly publications cum impact factors in Google scholar, LiveDNA, ORCID, Publons, ResearchGate, Semantic scholar and Scopus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05615">
        <w:rPr>
          <w:rFonts w:ascii="Arial"/>
          <w:sz w:val="14"/>
        </w:rPr>
        <w:t>aquatobi@gmail.com</w:t>
      </w:r>
    </w:p>
    <w:p w:rsidR="00AE3E37" w:rsidRDefault="006D4A4B">
      <w:pPr>
        <w:pStyle w:val="BodyText"/>
        <w:spacing w:before="2"/>
        <w:rPr>
          <w:rFonts w:ascii="Arial"/>
          <w:sz w:val="19"/>
        </w:rPr>
      </w:pPr>
      <w:r w:rsidRPr="006D4A4B"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B3090B" w:rsidRPr="00B3090B" w:rsidRDefault="00EA7D51" w:rsidP="00B3090B">
      <w:pPr>
        <w:pStyle w:val="NoSpacing"/>
        <w:rPr>
          <w:rFonts w:ascii="Tw Cen MT" w:hAnsi="Tw Cen MT"/>
          <w:sz w:val="20"/>
          <w:szCs w:val="20"/>
        </w:rPr>
      </w:pPr>
      <w:r w:rsidRPr="00F35A62">
        <w:rPr>
          <w:b/>
          <w:sz w:val="20"/>
          <w:szCs w:val="20"/>
          <w:lang w:val="en-NZ"/>
        </w:rPr>
        <w:lastRenderedPageBreak/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B3090B">
        <w:rPr>
          <w:rFonts w:ascii="Tw Cen MT" w:hAnsi="Tw Cen MT"/>
          <w:sz w:val="20"/>
          <w:szCs w:val="20"/>
          <w:lang w:val="en-NZ"/>
        </w:rPr>
        <w:t xml:space="preserve">Full name: </w:t>
      </w:r>
      <w:r w:rsidR="00D64FFA" w:rsidRPr="00B3090B">
        <w:rPr>
          <w:rFonts w:ascii="Tw Cen MT" w:hAnsi="Tw Cen MT"/>
          <w:sz w:val="20"/>
          <w:szCs w:val="20"/>
          <w:lang w:val="en-NZ"/>
        </w:rPr>
        <w:t>Albert Oluwatobi Amosu</w:t>
      </w:r>
      <w:r w:rsidRPr="00B3090B">
        <w:rPr>
          <w:rFonts w:ascii="Tw Cen MT" w:hAnsi="Tw Cen MT"/>
          <w:sz w:val="20"/>
          <w:szCs w:val="20"/>
          <w:lang w:val="en-NZ"/>
        </w:rPr>
        <w:br/>
        <w:t>Contact number:</w:t>
      </w:r>
      <w:r w:rsidR="00FB38CA">
        <w:rPr>
          <w:rFonts w:ascii="Tw Cen MT" w:hAnsi="Tw Cen MT"/>
          <w:sz w:val="20"/>
          <w:szCs w:val="20"/>
          <w:lang w:val="en-NZ"/>
        </w:rPr>
        <w:t xml:space="preserve"> </w:t>
      </w:r>
      <w:r w:rsidR="00D64FFA" w:rsidRPr="00B3090B">
        <w:rPr>
          <w:rFonts w:ascii="Tw Cen MT" w:hAnsi="Tw Cen MT"/>
          <w:sz w:val="20"/>
          <w:szCs w:val="20"/>
          <w:lang w:val="en-NZ"/>
        </w:rPr>
        <w:t>+2348028162450</w:t>
      </w:r>
      <w:r w:rsidRPr="00B3090B">
        <w:rPr>
          <w:rFonts w:ascii="Tw Cen MT" w:hAnsi="Tw Cen MT"/>
          <w:sz w:val="20"/>
          <w:szCs w:val="20"/>
          <w:lang w:val="en-NZ"/>
        </w:rPr>
        <w:br/>
        <w:t>Twitter account:</w:t>
      </w:r>
      <w:r w:rsidRPr="00B3090B">
        <w:rPr>
          <w:rFonts w:ascii="Tw Cen MT" w:hAnsi="Tw Cen MT"/>
          <w:sz w:val="20"/>
          <w:szCs w:val="20"/>
          <w:lang w:val="en-NZ"/>
        </w:rPr>
        <w:br/>
        <w:t>Linked In account:</w:t>
      </w:r>
      <w:r w:rsidR="008D47F8" w:rsidRPr="00B3090B">
        <w:rPr>
          <w:rFonts w:ascii="Tw Cen MT" w:hAnsi="Tw Cen MT"/>
          <w:sz w:val="20"/>
          <w:szCs w:val="20"/>
          <w:lang w:val="en-NZ"/>
        </w:rPr>
        <w:t xml:space="preserve"> </w:t>
      </w:r>
      <w:r w:rsidR="00B3090B" w:rsidRPr="00B3090B">
        <w:rPr>
          <w:rFonts w:ascii="Tw Cen MT" w:hAnsi="Tw Cen MT"/>
          <w:sz w:val="20"/>
          <w:szCs w:val="20"/>
        </w:rPr>
        <w:t>LinkedIn: https:// www.linkedin.com/in/amosualbertoluwatobiphd- 2a199928</w:t>
      </w:r>
    </w:p>
    <w:p w:rsidR="00EA7D51" w:rsidRPr="00B3090B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B3090B">
        <w:rPr>
          <w:sz w:val="20"/>
          <w:szCs w:val="20"/>
          <w:lang w:val="en-NZ"/>
        </w:rPr>
        <w:t xml:space="preserve">Session name/ number: </w:t>
      </w:r>
      <w:hyperlink r:id="rId13" w:tooltip=" Fisheries Science and Fish Nutrition" w:history="1">
        <w:r w:rsidR="00D64FFA" w:rsidRPr="00B3090B">
          <w:rPr>
            <w:rStyle w:val="Hyperlink"/>
            <w:color w:val="auto"/>
            <w:sz w:val="20"/>
            <w:szCs w:val="20"/>
            <w:u w:val="none"/>
          </w:rPr>
          <w:t>Fisheries Science and Fish Nutrition</w:t>
        </w:r>
      </w:hyperlink>
      <w:r w:rsidRPr="00B3090B">
        <w:rPr>
          <w:sz w:val="20"/>
          <w:szCs w:val="20"/>
          <w:lang w:val="en-NZ"/>
        </w:rPr>
        <w:br/>
        <w:t>Category: (Oral p</w:t>
      </w:r>
      <w:r w:rsidR="00D64FFA" w:rsidRPr="00B3090B">
        <w:rPr>
          <w:sz w:val="20"/>
          <w:szCs w:val="20"/>
          <w:lang w:val="en-NZ"/>
        </w:rPr>
        <w:t>resentation</w:t>
      </w:r>
      <w:r w:rsidRPr="00B3090B">
        <w:rPr>
          <w:sz w:val="20"/>
          <w:szCs w:val="20"/>
          <w:lang w:val="en-NZ"/>
        </w:rPr>
        <w:t>)</w:t>
      </w:r>
      <w:r w:rsidRPr="00B3090B">
        <w:rPr>
          <w:sz w:val="20"/>
          <w:szCs w:val="20"/>
          <w:lang w:val="en-NZ"/>
        </w:rPr>
        <w:br/>
      </w:r>
    </w:p>
    <w:p w:rsidR="008D47F8" w:rsidRPr="000534A1" w:rsidRDefault="008D47F8" w:rsidP="000534A1">
      <w:pPr>
        <w:spacing w:before="39"/>
        <w:ind w:left="100"/>
        <w:rPr>
          <w:rFonts w:ascii="Minion Pro"/>
          <w:b/>
          <w:sz w:val="20"/>
        </w:rPr>
        <w:sectPr w:rsidR="008D47F8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934" w:rsidRDefault="00852934">
      <w:r>
        <w:separator/>
      </w:r>
    </w:p>
  </w:endnote>
  <w:endnote w:type="continuationSeparator" w:id="1">
    <w:p w:rsidR="00852934" w:rsidRDefault="008529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D4A4B">
    <w:pPr>
      <w:pStyle w:val="BodyText"/>
      <w:spacing w:line="14" w:lineRule="auto"/>
      <w:rPr>
        <w:sz w:val="20"/>
      </w:rPr>
    </w:pPr>
    <w:r w:rsidRPr="006D4A4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6D4A4B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D4A4B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934" w:rsidRDefault="00852934">
      <w:r>
        <w:separator/>
      </w:r>
    </w:p>
  </w:footnote>
  <w:footnote w:type="continuationSeparator" w:id="1">
    <w:p w:rsidR="00852934" w:rsidRDefault="008529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534A1"/>
    <w:rsid w:val="0006797A"/>
    <w:rsid w:val="0009693A"/>
    <w:rsid w:val="000B4CAA"/>
    <w:rsid w:val="000E2911"/>
    <w:rsid w:val="001263DF"/>
    <w:rsid w:val="00234EAF"/>
    <w:rsid w:val="0026347F"/>
    <w:rsid w:val="00292ED9"/>
    <w:rsid w:val="002E5006"/>
    <w:rsid w:val="00351D9B"/>
    <w:rsid w:val="00380299"/>
    <w:rsid w:val="00404E5B"/>
    <w:rsid w:val="00414F7B"/>
    <w:rsid w:val="004355DC"/>
    <w:rsid w:val="00450FB1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644EE9"/>
    <w:rsid w:val="006D4A4B"/>
    <w:rsid w:val="00714354"/>
    <w:rsid w:val="0078510E"/>
    <w:rsid w:val="00805615"/>
    <w:rsid w:val="00852934"/>
    <w:rsid w:val="00873DF0"/>
    <w:rsid w:val="008756E6"/>
    <w:rsid w:val="00897EC5"/>
    <w:rsid w:val="008A0763"/>
    <w:rsid w:val="008D47F8"/>
    <w:rsid w:val="008E5477"/>
    <w:rsid w:val="009B2D44"/>
    <w:rsid w:val="009F148D"/>
    <w:rsid w:val="00A07E82"/>
    <w:rsid w:val="00A52075"/>
    <w:rsid w:val="00A9710C"/>
    <w:rsid w:val="00AE3E37"/>
    <w:rsid w:val="00B21A57"/>
    <w:rsid w:val="00B3090B"/>
    <w:rsid w:val="00B804E3"/>
    <w:rsid w:val="00BE6743"/>
    <w:rsid w:val="00C33602"/>
    <w:rsid w:val="00C56C74"/>
    <w:rsid w:val="00CD6F55"/>
    <w:rsid w:val="00D64FFA"/>
    <w:rsid w:val="00DE3104"/>
    <w:rsid w:val="00DE6170"/>
    <w:rsid w:val="00E30AAC"/>
    <w:rsid w:val="00E95D97"/>
    <w:rsid w:val="00EA7D51"/>
    <w:rsid w:val="00F04275"/>
    <w:rsid w:val="00F046EA"/>
    <w:rsid w:val="00F312EA"/>
    <w:rsid w:val="00F35A62"/>
    <w:rsid w:val="00F72EEA"/>
    <w:rsid w:val="00F84CAE"/>
    <w:rsid w:val="00FA41DE"/>
    <w:rsid w:val="00FB38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">
    <w:name w:val="st"/>
    <w:basedOn w:val="DefaultParagraphFont"/>
    <w:rsid w:val="00234EAF"/>
  </w:style>
  <w:style w:type="paragraph" w:styleId="NoSpacing">
    <w:name w:val="No Spacing"/>
    <w:link w:val="NoSpacingChar"/>
    <w:uiPriority w:val="1"/>
    <w:qFormat/>
    <w:rsid w:val="00234EAF"/>
    <w:pPr>
      <w:widowControl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234EAF"/>
    <w:rPr>
      <w:rFonts w:ascii="Calibri" w:eastAsia="Calibri" w:hAnsi="Calibri" w:cs="Times New Roman"/>
    </w:rPr>
  </w:style>
  <w:style w:type="character" w:styleId="Emphasis">
    <w:name w:val="Emphasis"/>
    <w:basedOn w:val="DefaultParagraphFont"/>
    <w:uiPriority w:val="20"/>
    <w:qFormat/>
    <w:rsid w:val="002E5006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E5006"/>
    <w:rPr>
      <w:i/>
      <w:iCs/>
    </w:rPr>
  </w:style>
  <w:style w:type="character" w:customStyle="1" w:styleId="text-gray-800">
    <w:name w:val="text-gray-800"/>
    <w:basedOn w:val="DefaultParagraphFont"/>
    <w:rsid w:val="002E50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fisheries.conferenceseries.com/events-list/fisheries-science-and-fish-nutrition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x.doi.org/10.36478/jfish.2020.14.21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mmed\Desktop\Amosu%202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r.%20Amosu\Dropbox\Files\Book1%20deborah%20(Autosaved)%20(Autosaved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>
        <c:manualLayout>
          <c:layoutTarget val="inner"/>
          <c:xMode val="edge"/>
          <c:yMode val="edge"/>
          <c:x val="9.3383103498467013E-2"/>
          <c:y val="2.1640140727090015E-2"/>
          <c:w val="0.85652745106325034"/>
          <c:h val="0.60086558329145023"/>
        </c:manualLayout>
      </c:layout>
      <c:barChart>
        <c:barDir val="col"/>
        <c:grouping val="clustered"/>
        <c:ser>
          <c:idx val="0"/>
          <c:order val="0"/>
          <c:errBars>
            <c:errBarType val="both"/>
            <c:errValType val="percentage"/>
            <c:val val="5"/>
          </c:errBars>
          <c:cat>
            <c:strRef>
              <c:f>Sheet1!$E$8:$E$23</c:f>
              <c:strCache>
                <c:ptCount val="16"/>
                <c:pt idx="0">
                  <c:v>Crude protein</c:v>
                </c:pt>
                <c:pt idx="1">
                  <c:v>Ash</c:v>
                </c:pt>
                <c:pt idx="2">
                  <c:v>Crude fibre</c:v>
                </c:pt>
                <c:pt idx="3">
                  <c:v>Crude fat</c:v>
                </c:pt>
                <c:pt idx="4">
                  <c:v>Nitrogen free extract (calc)</c:v>
                </c:pt>
                <c:pt idx="5">
                  <c:v>Phosphorus (P)</c:v>
                </c:pt>
                <c:pt idx="6">
                  <c:v>Potassium (K)</c:v>
                </c:pt>
                <c:pt idx="7">
                  <c:v>Calcium (Ca)</c:v>
                </c:pt>
                <c:pt idx="8">
                  <c:v>Magnesium (Mg)</c:v>
                </c:pt>
                <c:pt idx="9">
                  <c:v>Sodium (Na)</c:v>
                </c:pt>
                <c:pt idx="10">
                  <c:v>Iron (Fe)</c:v>
                </c:pt>
                <c:pt idx="11">
                  <c:v>Copper (Cu)</c:v>
                </c:pt>
                <c:pt idx="12">
                  <c:v>Zinc (Zn)</c:v>
                </c:pt>
                <c:pt idx="13">
                  <c:v>Manganese (Mn)</c:v>
                </c:pt>
                <c:pt idx="14">
                  <c:v>Bromine (Br)</c:v>
                </c:pt>
                <c:pt idx="15">
                  <c:v>Aluminium (Al)</c:v>
                </c:pt>
              </c:strCache>
            </c:strRef>
          </c:cat>
          <c:val>
            <c:numRef>
              <c:f>Sheet1!$F$8:$F$23</c:f>
              <c:numCache>
                <c:formatCode>General</c:formatCode>
                <c:ptCount val="16"/>
                <c:pt idx="0">
                  <c:v>18.309999999999999</c:v>
                </c:pt>
                <c:pt idx="1">
                  <c:v>32.660000000000011</c:v>
                </c:pt>
                <c:pt idx="2">
                  <c:v>6.0239999999999982</c:v>
                </c:pt>
                <c:pt idx="3">
                  <c:v>0.38000000000000012</c:v>
                </c:pt>
                <c:pt idx="4">
                  <c:v>30.259</c:v>
                </c:pt>
                <c:pt idx="5">
                  <c:v>0.17200000000000001</c:v>
                </c:pt>
                <c:pt idx="6">
                  <c:v>1.897</c:v>
                </c:pt>
                <c:pt idx="7">
                  <c:v>1.034</c:v>
                </c:pt>
                <c:pt idx="8">
                  <c:v>4.3099999999999996</c:v>
                </c:pt>
                <c:pt idx="9">
                  <c:v>5.1719999999999997</c:v>
                </c:pt>
                <c:pt idx="10">
                  <c:v>7.0000000000000019E-3</c:v>
                </c:pt>
                <c:pt idx="11">
                  <c:v>1.0000000000000005E-3</c:v>
                </c:pt>
                <c:pt idx="12">
                  <c:v>1.0000000000000005E-3</c:v>
                </c:pt>
                <c:pt idx="13">
                  <c:v>1.0000000000000005E-3</c:v>
                </c:pt>
                <c:pt idx="14">
                  <c:v>6.0000000000000019E-3</c:v>
                </c:pt>
                <c:pt idx="15">
                  <c:v>6.0000000000000019E-3</c:v>
                </c:pt>
              </c:numCache>
            </c:numRef>
          </c:val>
        </c:ser>
        <c:axId val="132061056"/>
        <c:axId val="135821568"/>
      </c:barChart>
      <c:catAx>
        <c:axId val="13206105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en-GB"/>
                </a:pPr>
                <a:r>
                  <a:rPr lang="en-US" sz="1000" b="1" i="0" u="none" strike="noStrike" baseline="0"/>
                  <a:t>Nutrients composition</a:t>
                </a:r>
                <a:endParaRPr lang="en-US"/>
              </a:p>
            </c:rich>
          </c:tx>
        </c:title>
        <c:tickLblPos val="nextTo"/>
        <c:txPr>
          <a:bodyPr/>
          <a:lstStyle/>
          <a:p>
            <a:pPr>
              <a:defRPr lang="en-GB" sz="800"/>
            </a:pPr>
            <a:endParaRPr lang="en-US"/>
          </a:p>
        </c:txPr>
        <c:crossAx val="135821568"/>
        <c:crossesAt val="5.0000000000000034E-4"/>
        <c:auto val="1"/>
        <c:lblAlgn val="ctr"/>
        <c:lblOffset val="100"/>
      </c:catAx>
      <c:valAx>
        <c:axId val="135821568"/>
        <c:scaling>
          <c:orientation val="minMax"/>
        </c:scaling>
        <c:axPos val="l"/>
        <c:title>
          <c:tx>
            <c:rich>
              <a:bodyPr rot="0" vert="wordArtVert"/>
              <a:lstStyle/>
              <a:p>
                <a:pPr>
                  <a:defRPr lang="en-GB"/>
                </a:pPr>
                <a:r>
                  <a:rPr lang="en-US" sz="1000" b="1" i="0" u="none" strike="noStrike" baseline="0"/>
                  <a:t> % dry matter </a:t>
                </a:r>
                <a:endParaRPr lang="en-US"/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lang="en-GB" sz="1000"/>
            </a:pPr>
            <a:endParaRPr lang="en-US"/>
          </a:p>
        </c:txPr>
        <c:crossAx val="132061056"/>
        <c:crosses val="autoZero"/>
        <c:crossBetween val="between"/>
        <c:majorUnit val="5"/>
        <c:minorUnit val="0.1"/>
      </c:valAx>
      <c:spPr>
        <a:noFill/>
        <a:ln w="25400">
          <a:noFill/>
        </a:ln>
      </c:spPr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plotArea>
      <c:layout>
        <c:manualLayout>
          <c:layoutTarget val="inner"/>
          <c:xMode val="edge"/>
          <c:yMode val="edge"/>
          <c:x val="0.14597462817147874"/>
          <c:y val="8.568538307711536E-2"/>
          <c:w val="0.8401364829396325"/>
          <c:h val="0.82366797900262456"/>
        </c:manualLayout>
      </c:layout>
      <c:lineChart>
        <c:grouping val="standard"/>
        <c:ser>
          <c:idx val="0"/>
          <c:order val="0"/>
          <c:tx>
            <c:strRef>
              <c:f>Sheet1!$M$3</c:f>
              <c:strCache>
                <c:ptCount val="1"/>
                <c:pt idx="0">
                  <c:v>FeedK</c:v>
                </c:pt>
              </c:strCache>
            </c:strRef>
          </c:tx>
          <c:spPr>
            <a:ln>
              <a:solidFill>
                <a:schemeClr val="accent3">
                  <a:lumMod val="50000"/>
                </a:schemeClr>
              </a:solidFill>
            </a:ln>
          </c:spPr>
          <c:marker>
            <c:symbol val="none"/>
          </c:marker>
          <c:cat>
            <c:numRef>
              <c:f>Sheet1!$L$4:$L$11</c:f>
              <c:numCache>
                <c:formatCode>General</c:formatCode>
                <c:ptCount val="8"/>
                <c:pt idx="0">
                  <c:v>0</c:v>
                </c:pt>
                <c:pt idx="1">
                  <c:v>3</c:v>
                </c:pt>
                <c:pt idx="2">
                  <c:v>6</c:v>
                </c:pt>
                <c:pt idx="3">
                  <c:v>9</c:v>
                </c:pt>
                <c:pt idx="4">
                  <c:v>12</c:v>
                </c:pt>
                <c:pt idx="5">
                  <c:v>15</c:v>
                </c:pt>
                <c:pt idx="6">
                  <c:v>18</c:v>
                </c:pt>
                <c:pt idx="7">
                  <c:v>21</c:v>
                </c:pt>
              </c:numCache>
            </c:numRef>
          </c:cat>
          <c:val>
            <c:numRef>
              <c:f>Sheet1!$M$4:$M$11</c:f>
              <c:numCache>
                <c:formatCode>General</c:formatCode>
                <c:ptCount val="8"/>
                <c:pt idx="0">
                  <c:v>2.1124999999999989</c:v>
                </c:pt>
                <c:pt idx="1">
                  <c:v>2.2625000000000002</c:v>
                </c:pt>
                <c:pt idx="2">
                  <c:v>2.3624999999999989</c:v>
                </c:pt>
                <c:pt idx="3">
                  <c:v>2.5024999999999986</c:v>
                </c:pt>
                <c:pt idx="4">
                  <c:v>2.6224999999999987</c:v>
                </c:pt>
                <c:pt idx="5">
                  <c:v>2.6624999999999988</c:v>
                </c:pt>
                <c:pt idx="6">
                  <c:v>2.8024999999999993</c:v>
                </c:pt>
                <c:pt idx="7">
                  <c:v>2.9524999999999983</c:v>
                </c:pt>
              </c:numCache>
            </c:numRef>
          </c:val>
        </c:ser>
        <c:ser>
          <c:idx val="1"/>
          <c:order val="1"/>
          <c:tx>
            <c:strRef>
              <c:f>Sheet1!$N$3</c:f>
              <c:strCache>
                <c:ptCount val="1"/>
                <c:pt idx="0">
                  <c:v>CL +fU 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numRef>
              <c:f>Sheet1!$L$4:$L$11</c:f>
              <c:numCache>
                <c:formatCode>General</c:formatCode>
                <c:ptCount val="8"/>
                <c:pt idx="0">
                  <c:v>0</c:v>
                </c:pt>
                <c:pt idx="1">
                  <c:v>3</c:v>
                </c:pt>
                <c:pt idx="2">
                  <c:v>6</c:v>
                </c:pt>
                <c:pt idx="3">
                  <c:v>9</c:v>
                </c:pt>
                <c:pt idx="4">
                  <c:v>12</c:v>
                </c:pt>
                <c:pt idx="5">
                  <c:v>15</c:v>
                </c:pt>
                <c:pt idx="6">
                  <c:v>18</c:v>
                </c:pt>
                <c:pt idx="7">
                  <c:v>21</c:v>
                </c:pt>
              </c:numCache>
            </c:numRef>
          </c:cat>
          <c:val>
            <c:numRef>
              <c:f>Sheet1!$N$4:$N$11</c:f>
              <c:numCache>
                <c:formatCode>General</c:formatCode>
                <c:ptCount val="8"/>
                <c:pt idx="0">
                  <c:v>1.9775000000000003</c:v>
                </c:pt>
                <c:pt idx="1">
                  <c:v>2.3674999999999997</c:v>
                </c:pt>
                <c:pt idx="2">
                  <c:v>2.6574999999999998</c:v>
                </c:pt>
                <c:pt idx="3">
                  <c:v>3.2975000000000012</c:v>
                </c:pt>
                <c:pt idx="4">
                  <c:v>3.8774999999999986</c:v>
                </c:pt>
                <c:pt idx="5">
                  <c:v>4.1874999999999982</c:v>
                </c:pt>
                <c:pt idx="6">
                  <c:v>4.9474999999999998</c:v>
                </c:pt>
                <c:pt idx="7">
                  <c:v>5.2974999999999985</c:v>
                </c:pt>
              </c:numCache>
            </c:numRef>
          </c:val>
        </c:ser>
        <c:ser>
          <c:idx val="2"/>
          <c:order val="2"/>
          <c:tx>
            <c:strRef>
              <c:f>Sheet1!$O$3</c:f>
              <c:strCache>
                <c:ptCount val="1"/>
                <c:pt idx="0">
                  <c:v>CL +FU</c:v>
                </c:pt>
              </c:strCache>
            </c:strRef>
          </c:tx>
          <c:spPr>
            <a:ln>
              <a:solidFill>
                <a:srgbClr val="FFFF00"/>
              </a:solidFill>
            </a:ln>
          </c:spPr>
          <c:marker>
            <c:symbol val="none"/>
          </c:marker>
          <c:cat>
            <c:numRef>
              <c:f>Sheet1!$L$4:$L$11</c:f>
              <c:numCache>
                <c:formatCode>General</c:formatCode>
                <c:ptCount val="8"/>
                <c:pt idx="0">
                  <c:v>0</c:v>
                </c:pt>
                <c:pt idx="1">
                  <c:v>3</c:v>
                </c:pt>
                <c:pt idx="2">
                  <c:v>6</c:v>
                </c:pt>
                <c:pt idx="3">
                  <c:v>9</c:v>
                </c:pt>
                <c:pt idx="4">
                  <c:v>12</c:v>
                </c:pt>
                <c:pt idx="5">
                  <c:v>15</c:v>
                </c:pt>
                <c:pt idx="6">
                  <c:v>18</c:v>
                </c:pt>
                <c:pt idx="7">
                  <c:v>21</c:v>
                </c:pt>
              </c:numCache>
            </c:numRef>
          </c:cat>
          <c:val>
            <c:numRef>
              <c:f>Sheet1!$O$4:$O$11</c:f>
              <c:numCache>
                <c:formatCode>General</c:formatCode>
                <c:ptCount val="8"/>
                <c:pt idx="0">
                  <c:v>2.0375000000000005</c:v>
                </c:pt>
                <c:pt idx="1">
                  <c:v>2.4575000000000005</c:v>
                </c:pt>
                <c:pt idx="2">
                  <c:v>2.7275000000000009</c:v>
                </c:pt>
                <c:pt idx="3">
                  <c:v>3.3475000000000001</c:v>
                </c:pt>
                <c:pt idx="4">
                  <c:v>3.857499999999999</c:v>
                </c:pt>
                <c:pt idx="5">
                  <c:v>4.3274999999999979</c:v>
                </c:pt>
                <c:pt idx="6">
                  <c:v>5.1474999999999982</c:v>
                </c:pt>
                <c:pt idx="7">
                  <c:v>5.9674999999999985</c:v>
                </c:pt>
              </c:numCache>
            </c:numRef>
          </c:val>
        </c:ser>
        <c:ser>
          <c:idx val="3"/>
          <c:order val="3"/>
          <c:tx>
            <c:strRef>
              <c:f>Sheet1!$P$3</c:f>
              <c:strCache>
                <c:ptCount val="1"/>
                <c:pt idx="0">
                  <c:v>CL</c:v>
                </c:pt>
              </c:strCache>
            </c:strRef>
          </c:tx>
          <c:spPr>
            <a:ln>
              <a:solidFill>
                <a:schemeClr val="accent4">
                  <a:lumMod val="40000"/>
                  <a:lumOff val="60000"/>
                </a:schemeClr>
              </a:solidFill>
            </a:ln>
          </c:spPr>
          <c:marker>
            <c:symbol val="none"/>
          </c:marker>
          <c:cat>
            <c:numRef>
              <c:f>Sheet1!$L$4:$L$11</c:f>
              <c:numCache>
                <c:formatCode>General</c:formatCode>
                <c:ptCount val="8"/>
                <c:pt idx="0">
                  <c:v>0</c:v>
                </c:pt>
                <c:pt idx="1">
                  <c:v>3</c:v>
                </c:pt>
                <c:pt idx="2">
                  <c:v>6</c:v>
                </c:pt>
                <c:pt idx="3">
                  <c:v>9</c:v>
                </c:pt>
                <c:pt idx="4">
                  <c:v>12</c:v>
                </c:pt>
                <c:pt idx="5">
                  <c:v>15</c:v>
                </c:pt>
                <c:pt idx="6">
                  <c:v>18</c:v>
                </c:pt>
                <c:pt idx="7">
                  <c:v>21</c:v>
                </c:pt>
              </c:numCache>
            </c:numRef>
          </c:cat>
          <c:val>
            <c:numRef>
              <c:f>Sheet1!$P$4:$P$11</c:f>
              <c:numCache>
                <c:formatCode>General</c:formatCode>
                <c:ptCount val="8"/>
                <c:pt idx="0">
                  <c:v>2.0375000000000005</c:v>
                </c:pt>
                <c:pt idx="1">
                  <c:v>2.6174999999999997</c:v>
                </c:pt>
                <c:pt idx="2">
                  <c:v>2.9474999999999998</c:v>
                </c:pt>
                <c:pt idx="3">
                  <c:v>3.4775</c:v>
                </c:pt>
                <c:pt idx="4">
                  <c:v>3.9874999999999998</c:v>
                </c:pt>
                <c:pt idx="5">
                  <c:v>4.5674999999999981</c:v>
                </c:pt>
                <c:pt idx="6">
                  <c:v>4.7274999999999983</c:v>
                </c:pt>
                <c:pt idx="7">
                  <c:v>5.7274999999999983</c:v>
                </c:pt>
              </c:numCache>
            </c:numRef>
          </c:val>
        </c:ser>
        <c:marker val="1"/>
        <c:axId val="136039808"/>
        <c:axId val="136073216"/>
      </c:lineChart>
      <c:catAx>
        <c:axId val="13603980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Experimental Days</a:t>
                </a:r>
              </a:p>
            </c:rich>
          </c:tx>
        </c:title>
        <c:numFmt formatCode="General" sourceLinked="1"/>
        <c:tickLblPos val="nextTo"/>
        <c:crossAx val="136073216"/>
        <c:crosses val="autoZero"/>
        <c:auto val="1"/>
        <c:lblAlgn val="ctr"/>
        <c:lblOffset val="100"/>
      </c:catAx>
      <c:valAx>
        <c:axId val="136073216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Mean body weight of fish (g)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21457349081364829"/>
            </c:manualLayout>
          </c:layout>
        </c:title>
        <c:numFmt formatCode="General" sourceLinked="1"/>
        <c:tickLblPos val="nextTo"/>
        <c:crossAx val="136039808"/>
        <c:crosses val="autoZero"/>
        <c:crossBetween val="between"/>
      </c:valAx>
      <c:spPr>
        <a:solidFill>
          <a:sysClr val="window" lastClr="FFFFFF"/>
        </a:solidFill>
        <a:ln>
          <a:noFill/>
        </a:ln>
      </c:spPr>
    </c:plotArea>
    <c:legend>
      <c:legendPos val="t"/>
      <c:layout>
        <c:manualLayout>
          <c:xMode val="edge"/>
          <c:yMode val="edge"/>
          <c:x val="0.1526356080489939"/>
          <c:y val="6.4814814814815033E-2"/>
          <c:w val="0.71695078740157658"/>
          <c:h val="7.90875619714205E-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 Albert 'Tobi Amosu</cp:lastModifiedBy>
  <cp:revision>14</cp:revision>
  <dcterms:created xsi:type="dcterms:W3CDTF">2021-12-17T08:35:00Z</dcterms:created>
  <dcterms:modified xsi:type="dcterms:W3CDTF">2021-12-17T09:31:00Z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