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3B8" w:rsidRDefault="005963B8" w:rsidP="005963B8">
      <w:pPr>
        <w:spacing w:line="360" w:lineRule="auto"/>
        <w:jc w:val="both"/>
        <w:rPr>
          <w:rFonts w:ascii="Times New Roman" w:hAnsi="Times New Roman"/>
          <w:b/>
          <w:sz w:val="24"/>
          <w:lang w:eastAsia="x-none"/>
        </w:rPr>
      </w:pPr>
      <w:r>
        <w:rPr>
          <w:rFonts w:ascii="Times New Roman" w:hAnsi="Times New Roman"/>
          <w:b/>
          <w:sz w:val="24"/>
          <w:lang w:eastAsia="x-none"/>
        </w:rPr>
        <w:t>Titre</w:t>
      </w:r>
    </w:p>
    <w:p w:rsidR="005963B8" w:rsidRDefault="005963B8" w:rsidP="005963B8">
      <w:pPr>
        <w:spacing w:line="360" w:lineRule="auto"/>
        <w:jc w:val="center"/>
        <w:rPr>
          <w:rFonts w:ascii="Times New Roman" w:hAnsi="Times New Roman"/>
          <w:b/>
          <w:sz w:val="24"/>
          <w:lang w:eastAsia="x-none"/>
        </w:rPr>
      </w:pPr>
      <w:r w:rsidRPr="0063611A">
        <w:rPr>
          <w:rFonts w:ascii="Times New Roman" w:hAnsi="Times New Roman"/>
          <w:b/>
          <w:sz w:val="24"/>
          <w:lang w:eastAsia="x-none"/>
        </w:rPr>
        <w:t xml:space="preserve">Réponse physiologique de l’ichtyofaune face au dragage des bas-fonds au Sud Bénin : comparaison des paramètres de reproduction de </w:t>
      </w:r>
      <w:r w:rsidRPr="0063611A">
        <w:rPr>
          <w:rFonts w:ascii="Times New Roman" w:hAnsi="Times New Roman"/>
          <w:b/>
          <w:i/>
          <w:sz w:val="24"/>
          <w:lang w:eastAsia="x-none"/>
        </w:rPr>
        <w:t>Sarotherodon melanotheron</w:t>
      </w:r>
      <w:r w:rsidRPr="0063611A">
        <w:rPr>
          <w:rFonts w:ascii="Times New Roman" w:hAnsi="Times New Roman"/>
          <w:b/>
          <w:sz w:val="24"/>
          <w:lang w:eastAsia="x-none"/>
        </w:rPr>
        <w:t xml:space="preserve"> </w:t>
      </w:r>
      <w:r w:rsidRPr="0063611A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63611A">
        <w:rPr>
          <w:rFonts w:ascii="Times New Roman" w:hAnsi="Times New Roman"/>
          <w:b/>
          <w:sz w:val="24"/>
          <w:szCs w:val="24"/>
        </w:rPr>
        <w:t>Rüppell</w:t>
      </w:r>
      <w:proofErr w:type="spellEnd"/>
      <w:r w:rsidRPr="0063611A">
        <w:rPr>
          <w:rFonts w:ascii="Times New Roman" w:hAnsi="Times New Roman"/>
          <w:b/>
          <w:sz w:val="24"/>
          <w:szCs w:val="24"/>
        </w:rPr>
        <w:t xml:space="preserve">, 1852) </w:t>
      </w:r>
      <w:r w:rsidRPr="0063611A">
        <w:rPr>
          <w:rFonts w:ascii="Times New Roman" w:hAnsi="Times New Roman"/>
          <w:b/>
          <w:sz w:val="24"/>
          <w:lang w:eastAsia="x-none"/>
        </w:rPr>
        <w:t>des bas-fonds dragués et de la lagune côtière à Togbin</w:t>
      </w:r>
    </w:p>
    <w:p w:rsidR="005963B8" w:rsidRPr="004E7769" w:rsidRDefault="005963B8" w:rsidP="005963B8">
      <w:pPr>
        <w:spacing w:line="36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Mardochée Ephraï</w:t>
      </w:r>
      <w:r w:rsidRPr="00715DC1">
        <w:rPr>
          <w:rFonts w:ascii="Times New Roman" w:hAnsi="Times New Roman"/>
          <w:sz w:val="24"/>
          <w:szCs w:val="24"/>
        </w:rPr>
        <w:t>m ACHOH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 ; Hyppolite AGADJIHOUDE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,2</w:t>
      </w:r>
      <w:proofErr w:type="gramEnd"/>
      <w:r w:rsidRPr="00715DC1">
        <w:rPr>
          <w:rFonts w:ascii="Times New Roman" w:hAnsi="Times New Roman"/>
          <w:sz w:val="24"/>
          <w:szCs w:val="24"/>
        </w:rPr>
        <w:t>; Luc GANGBE</w:t>
      </w:r>
      <w:r>
        <w:rPr>
          <w:rFonts w:ascii="Times New Roman" w:hAnsi="Times New Roman"/>
          <w:sz w:val="24"/>
          <w:szCs w:val="24"/>
          <w:vertAlign w:val="superscript"/>
        </w:rPr>
        <w:t>1,3</w:t>
      </w:r>
      <w:r w:rsidRPr="00715DC1">
        <w:rPr>
          <w:rFonts w:ascii="Times New Roman" w:hAnsi="Times New Roman"/>
          <w:sz w:val="24"/>
          <w:szCs w:val="24"/>
        </w:rPr>
        <w:t> ;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Hamil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Mahugnon</w:t>
      </w:r>
      <w:proofErr w:type="spellEnd"/>
      <w:r>
        <w:rPr>
          <w:rFonts w:ascii="Times New Roman" w:hAnsi="Times New Roman"/>
          <w:sz w:val="24"/>
          <w:szCs w:val="24"/>
        </w:rPr>
        <w:t xml:space="preserve"> VODOUGNON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 ; </w:t>
      </w:r>
      <w:r w:rsidRPr="00715DC1">
        <w:rPr>
          <w:rFonts w:ascii="Times New Roman" w:hAnsi="Times New Roman"/>
          <w:sz w:val="24"/>
          <w:szCs w:val="24"/>
        </w:rPr>
        <w:t xml:space="preserve">Philippe </w:t>
      </w:r>
      <w:r>
        <w:rPr>
          <w:rFonts w:ascii="Times New Roman" w:hAnsi="Times New Roman"/>
          <w:sz w:val="24"/>
          <w:szCs w:val="24"/>
        </w:rPr>
        <w:t>L</w:t>
      </w:r>
      <w:r w:rsidRPr="00715DC1">
        <w:rPr>
          <w:rFonts w:ascii="Times New Roman" w:hAnsi="Times New Roman"/>
          <w:sz w:val="24"/>
          <w:szCs w:val="24"/>
        </w:rPr>
        <w:t>ALEYE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</w:p>
    <w:p w:rsidR="005963B8" w:rsidRPr="0063611A" w:rsidRDefault="005963B8" w:rsidP="005963B8">
      <w:pPr>
        <w:spacing w:line="360" w:lineRule="auto"/>
        <w:jc w:val="both"/>
        <w:rPr>
          <w:rFonts w:ascii="Times New Roman" w:hAnsi="Times New Roman"/>
          <w:b/>
          <w:sz w:val="24"/>
          <w:lang w:eastAsia="x-none"/>
        </w:rPr>
      </w:pPr>
      <w:r>
        <w:rPr>
          <w:rFonts w:ascii="Times New Roman" w:hAnsi="Times New Roman"/>
          <w:b/>
          <w:sz w:val="24"/>
          <w:lang w:eastAsia="x-none"/>
        </w:rPr>
        <w:t>Résumé</w:t>
      </w:r>
    </w:p>
    <w:p w:rsidR="005963B8" w:rsidRDefault="005963B8" w:rsidP="005963B8">
      <w:pPr>
        <w:spacing w:before="100" w:beforeAutospacing="1"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fr-FR"/>
        </w:rPr>
      </w:pPr>
      <w:r>
        <w:rPr>
          <w:rFonts w:ascii="Times New Roman" w:hAnsi="Times New Roman"/>
          <w:sz w:val="24"/>
          <w:szCs w:val="24"/>
        </w:rPr>
        <w:t>C’est pour comprendre la réponse de l’ichtyofaune vis-vis du dragage de sable que la présente étude</w:t>
      </w:r>
      <w:r w:rsidRPr="00715D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est menée et </w:t>
      </w:r>
      <w:r w:rsidRPr="00715DC1">
        <w:rPr>
          <w:rFonts w:ascii="Times New Roman" w:hAnsi="Times New Roman"/>
          <w:sz w:val="24"/>
          <w:szCs w:val="24"/>
        </w:rPr>
        <w:t xml:space="preserve">vise à comparer les paramètres de reproduction des populations de </w:t>
      </w:r>
      <w:r w:rsidRPr="00715DC1">
        <w:rPr>
          <w:rFonts w:ascii="Times New Roman" w:hAnsi="Times New Roman"/>
          <w:i/>
          <w:sz w:val="24"/>
          <w:szCs w:val="24"/>
        </w:rPr>
        <w:t>Sarotherodon melanotheron</w:t>
      </w:r>
      <w:r w:rsidRPr="00715DC1">
        <w:rPr>
          <w:rFonts w:ascii="Times New Roman" w:hAnsi="Times New Roman"/>
          <w:sz w:val="24"/>
          <w:szCs w:val="24"/>
        </w:rPr>
        <w:t xml:space="preserve"> de la lagune et des bas-fonds dragués de Togbin. Ainsi, un échantillonnage a été effectué</w:t>
      </w:r>
      <w:r>
        <w:rPr>
          <w:rFonts w:ascii="Times New Roman" w:hAnsi="Times New Roman"/>
          <w:sz w:val="24"/>
          <w:szCs w:val="24"/>
        </w:rPr>
        <w:t xml:space="preserve"> de juin à septembre et a permis de recueillir 428 spécimens (230 pour lagune et 198 pour bas-fonds) sur lesquels la fécondité, </w:t>
      </w:r>
      <w:proofErr w:type="gramStart"/>
      <w:r>
        <w:rPr>
          <w:rFonts w:ascii="Times New Roman" w:hAnsi="Times New Roman"/>
          <w:sz w:val="24"/>
          <w:szCs w:val="24"/>
        </w:rPr>
        <w:t>le</w:t>
      </w:r>
      <w:proofErr w:type="gramEnd"/>
      <w:r>
        <w:rPr>
          <w:rFonts w:ascii="Times New Roman" w:hAnsi="Times New Roman"/>
          <w:sz w:val="24"/>
          <w:szCs w:val="24"/>
        </w:rPr>
        <w:t xml:space="preserve"> sex-ratio, la taille de première maturité sexuelle et la structure ovarienne ont été déterminés ; de même des mesures mensuelles des paramètres physico-chimiques de l’eau des deux milieux ont été prises. A l’issu des travaux, il a été noté que seule la profondeur diffère entre les deux milieux (lagune Prof = 1,57 m et bas-fonds Prof = 6,2 m) (p</w:t>
      </w:r>
      <w:r>
        <w:rPr>
          <w:rFonts w:cs="Calibri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>0,05). La fécondité absolue est de 1 552 pour la lagune et de 1 468 pour les bas-fonds (p</w:t>
      </w:r>
      <w:r>
        <w:rPr>
          <w:rFonts w:cs="Calibri"/>
          <w:sz w:val="24"/>
          <w:szCs w:val="24"/>
        </w:rPr>
        <w:t>&gt;</w:t>
      </w:r>
      <w:r>
        <w:rPr>
          <w:rFonts w:ascii="Times New Roman" w:hAnsi="Times New Roman"/>
          <w:sz w:val="24"/>
          <w:szCs w:val="24"/>
        </w:rPr>
        <w:t>0,05) et la fécondité relative  de la lagune (65) est supérieure à celle des bas-fonds (12) p</w:t>
      </w:r>
      <w:r>
        <w:rPr>
          <w:rFonts w:cs="Calibri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 xml:space="preserve">0,05. Les sex-ratios obtenus ne sont pas différent de l’unité (sex-ratio = </w:t>
      </w:r>
      <w:r w:rsidRPr="006478B4"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>1,01 : 1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 xml:space="preserve"> ; </w:t>
      </w:r>
      <w:r w:rsidRPr="00A75897"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>χ2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 xml:space="preserve"> = 0,0001 ; p = 0,99204</w:t>
      </w:r>
      <w:r w:rsidRPr="004445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pour la lagune et sex-ratio = </w:t>
      </w:r>
      <w:r w:rsidRPr="006478B4"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>1 : 1,37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 xml:space="preserve"> ; </w:t>
      </w:r>
      <w:r w:rsidRPr="00A75897"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>χ2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 xml:space="preserve"> = 0,1369 ; p = 0,7113 pour bas-fonds). Les tailles de première maturité sexuelle observée sont de 6,51 cm et 7,17 cm respectivement pour la femelle et le mâle de la lagune alors que celles des bas-fonds dragués sont de 15,32 cm et de 10,65 cm respectivement pour la femelle et le mâle. La structure ovarienne a révélé que le diamètre moyen des œufs est plus élevé au niveau des bas-fonds dragués (0,17 cm) comparativement à celui de la lagune (0,11 cm). Ces diamètres obtenus sont confirmés par la régression entre la fécondité absolue et le poids des gonades qui révèle une corrélation négative significative (r = -0,43 ; p </w:t>
      </w:r>
      <w:r>
        <w:rPr>
          <w:rFonts w:eastAsia="Times New Roman" w:cs="Calibri"/>
          <w:color w:val="000000"/>
          <w:sz w:val="24"/>
          <w:szCs w:val="24"/>
          <w:lang w:eastAsia="fr-FR"/>
        </w:rPr>
        <w:t xml:space="preserve">&lt; 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 xml:space="preserve">0,05) pour les bas-fonds dragués et une corrélation positive significative (r = 0,5929 ; p </w:t>
      </w:r>
      <w:r>
        <w:rPr>
          <w:rFonts w:eastAsia="Times New Roman" w:cs="Calibri"/>
          <w:color w:val="000000"/>
          <w:sz w:val="24"/>
          <w:szCs w:val="24"/>
          <w:lang w:eastAsia="fr-FR"/>
        </w:rPr>
        <w:t xml:space="preserve">&lt; </w:t>
      </w:r>
      <w:r>
        <w:rPr>
          <w:rFonts w:ascii="Times New Roman" w:eastAsia="Times New Roman" w:hAnsi="Times New Roman"/>
          <w:color w:val="000000"/>
          <w:sz w:val="24"/>
          <w:szCs w:val="24"/>
          <w:lang w:eastAsia="fr-FR"/>
        </w:rPr>
        <w:t>0,05) pour la lagune. En définitive, donner de la profondeur aux plans d’eau comblés et dont la productivité ichtyologique est en péril ne sera que rendre service à la biodiversité.</w:t>
      </w:r>
    </w:p>
    <w:p w:rsidR="005963B8" w:rsidRDefault="005963B8" w:rsidP="005963B8">
      <w:p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963B8" w:rsidRPr="005705FC" w:rsidRDefault="005963B8" w:rsidP="005963B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625FC">
        <w:rPr>
          <w:rFonts w:ascii="Times New Roman" w:hAnsi="Times New Roman"/>
          <w:b/>
          <w:sz w:val="24"/>
          <w:szCs w:val="24"/>
        </w:rPr>
        <w:t>Mots-clés: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705FC">
        <w:rPr>
          <w:rFonts w:ascii="Times New Roman" w:hAnsi="Times New Roman"/>
          <w:i/>
          <w:sz w:val="24"/>
          <w:szCs w:val="24"/>
        </w:rPr>
        <w:t>S. melanotheron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performances reproduction, aménagement pêcheries, Bénin</w:t>
      </w:r>
      <w:bookmarkStart w:id="0" w:name="_GoBack"/>
      <w:bookmarkEnd w:id="0"/>
    </w:p>
    <w:sectPr w:rsidR="005963B8" w:rsidRPr="00570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3B8"/>
    <w:rsid w:val="005963B8"/>
    <w:rsid w:val="00D445E2"/>
    <w:rsid w:val="00D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3B8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3B8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2076</Characters>
  <Application>Microsoft Office Word</Application>
  <DocSecurity>0</DocSecurity>
  <Lines>17</Lines>
  <Paragraphs>4</Paragraphs>
  <ScaleCrop>false</ScaleCrop>
  <Company> 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</dc:creator>
  <cp:keywords/>
  <dc:description/>
  <cp:lastModifiedBy>LUC</cp:lastModifiedBy>
  <cp:revision>2</cp:revision>
  <dcterms:created xsi:type="dcterms:W3CDTF">2017-10-19T14:14:00Z</dcterms:created>
  <dcterms:modified xsi:type="dcterms:W3CDTF">2017-10-19T14:16:00Z</dcterms:modified>
</cp:coreProperties>
</file>