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F4A" w:rsidRDefault="00F67F4A" w:rsidP="00F67F4A">
      <w:pPr>
        <w:spacing w:after="240"/>
        <w:jc w:val="center"/>
        <w:rPr>
          <w:rFonts w:ascii="Arial" w:hAnsi="Arial" w:cs="Arial"/>
          <w:bCs/>
          <w:szCs w:val="22"/>
        </w:rPr>
      </w:pPr>
      <w:r w:rsidRPr="00423481">
        <w:rPr>
          <w:rFonts w:ascii="Arial" w:hAnsi="Arial" w:cs="Arial"/>
          <w:bCs/>
          <w:szCs w:val="22"/>
        </w:rPr>
        <w:t>SPECIES DIVERSITY AND CATCH PER UNIT EFFORT OF BOTTOM LONGLINE FISHING IN NORTHERN PANAY GULF</w:t>
      </w:r>
    </w:p>
    <w:p w:rsidR="00F67F4A" w:rsidRPr="00F67F4A" w:rsidRDefault="00F67F4A" w:rsidP="00F67F4A">
      <w:pPr>
        <w:jc w:val="center"/>
        <w:rPr>
          <w:rFonts w:ascii="Arial" w:hAnsi="Arial" w:cs="Arial"/>
          <w:bCs/>
          <w:sz w:val="20"/>
          <w:szCs w:val="22"/>
        </w:rPr>
      </w:pPr>
      <w:r w:rsidRPr="00F67F4A">
        <w:rPr>
          <w:rFonts w:ascii="Arial" w:hAnsi="Arial" w:cs="Arial"/>
          <w:bCs/>
          <w:sz w:val="20"/>
          <w:szCs w:val="22"/>
        </w:rPr>
        <w:t xml:space="preserve">Precious Nikola B. </w:t>
      </w:r>
      <w:proofErr w:type="spellStart"/>
      <w:r w:rsidRPr="00F67F4A">
        <w:rPr>
          <w:rFonts w:ascii="Arial" w:hAnsi="Arial" w:cs="Arial"/>
          <w:bCs/>
          <w:sz w:val="20"/>
          <w:szCs w:val="22"/>
        </w:rPr>
        <w:t>Gaurana</w:t>
      </w:r>
      <w:proofErr w:type="spellEnd"/>
      <w:r w:rsidRPr="00F67F4A">
        <w:rPr>
          <w:rFonts w:ascii="Arial" w:hAnsi="Arial" w:cs="Arial"/>
          <w:bCs/>
          <w:sz w:val="20"/>
          <w:szCs w:val="22"/>
        </w:rPr>
        <w:t>, Ricardo</w:t>
      </w:r>
      <w:bookmarkStart w:id="0" w:name="_GoBack"/>
      <w:bookmarkEnd w:id="0"/>
      <w:r w:rsidRPr="00F67F4A">
        <w:rPr>
          <w:rFonts w:ascii="Arial" w:hAnsi="Arial" w:cs="Arial"/>
          <w:bCs/>
          <w:sz w:val="20"/>
          <w:szCs w:val="22"/>
        </w:rPr>
        <w:t xml:space="preserve"> P. </w:t>
      </w:r>
      <w:proofErr w:type="spellStart"/>
      <w:r w:rsidRPr="00F67F4A">
        <w:rPr>
          <w:rFonts w:ascii="Arial" w:hAnsi="Arial" w:cs="Arial"/>
          <w:bCs/>
          <w:sz w:val="20"/>
          <w:szCs w:val="22"/>
        </w:rPr>
        <w:t>Babaran</w:t>
      </w:r>
      <w:proofErr w:type="spellEnd"/>
      <w:r w:rsidRPr="00F67F4A">
        <w:rPr>
          <w:rFonts w:ascii="Arial" w:hAnsi="Arial" w:cs="Arial"/>
          <w:bCs/>
          <w:sz w:val="20"/>
          <w:szCs w:val="22"/>
        </w:rPr>
        <w:t>, Ph. D.</w:t>
      </w:r>
    </w:p>
    <w:p w:rsidR="00F67F4A" w:rsidRDefault="00F67F4A" w:rsidP="00F67F4A">
      <w:pPr>
        <w:jc w:val="center"/>
        <w:rPr>
          <w:rFonts w:ascii="Arial" w:hAnsi="Arial" w:cs="Arial"/>
          <w:bCs/>
          <w:sz w:val="20"/>
          <w:szCs w:val="22"/>
        </w:rPr>
      </w:pPr>
      <w:r w:rsidRPr="00F67F4A">
        <w:rPr>
          <w:rFonts w:ascii="Arial" w:hAnsi="Arial" w:cs="Arial"/>
          <w:bCs/>
          <w:sz w:val="20"/>
          <w:szCs w:val="22"/>
        </w:rPr>
        <w:t>June 2016</w:t>
      </w:r>
    </w:p>
    <w:p w:rsidR="00F67F4A" w:rsidRPr="00F67F4A" w:rsidRDefault="00F67F4A" w:rsidP="00F67F4A">
      <w:pPr>
        <w:rPr>
          <w:rFonts w:ascii="Arial" w:hAnsi="Arial" w:cs="Arial"/>
          <w:bCs/>
          <w:sz w:val="20"/>
          <w:szCs w:val="22"/>
        </w:rPr>
      </w:pPr>
    </w:p>
    <w:p w:rsidR="00F67F4A" w:rsidRPr="00423481" w:rsidRDefault="00F67F4A" w:rsidP="00F67F4A">
      <w:pPr>
        <w:spacing w:after="240"/>
        <w:jc w:val="center"/>
        <w:rPr>
          <w:rFonts w:ascii="Arial" w:hAnsi="Arial" w:cs="Arial"/>
          <w:sz w:val="22"/>
        </w:rPr>
      </w:pPr>
      <w:r w:rsidRPr="00423481">
        <w:rPr>
          <w:rFonts w:ascii="Arial" w:hAnsi="Arial" w:cs="Arial"/>
          <w:sz w:val="22"/>
        </w:rPr>
        <w:t>Abstract</w:t>
      </w:r>
    </w:p>
    <w:p w:rsidR="00F67F4A" w:rsidRPr="00423481" w:rsidRDefault="00F67F4A" w:rsidP="00F67F4A">
      <w:pPr>
        <w:spacing w:after="240"/>
        <w:ind w:firstLine="720"/>
        <w:jc w:val="center"/>
        <w:rPr>
          <w:rFonts w:ascii="Arial" w:hAnsi="Arial" w:cs="Arial"/>
          <w:sz w:val="22"/>
          <w:szCs w:val="22"/>
        </w:rPr>
      </w:pPr>
      <w:r w:rsidRPr="00423481">
        <w:rPr>
          <w:rFonts w:ascii="Arial" w:hAnsi="Arial" w:cs="Arial"/>
          <w:sz w:val="22"/>
          <w:szCs w:val="22"/>
        </w:rPr>
        <w:t xml:space="preserve">The Philippines is one of the world’s largest archipelagos. This underscores a culture wherein fisheries take a significant role in its economic and social </w:t>
      </w:r>
      <w:proofErr w:type="spellStart"/>
      <w:r w:rsidRPr="00423481">
        <w:rPr>
          <w:rFonts w:ascii="Arial" w:hAnsi="Arial" w:cs="Arial"/>
          <w:sz w:val="22"/>
          <w:szCs w:val="22"/>
        </w:rPr>
        <w:t>fiber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. This research gives a general overview of the diversity of </w:t>
      </w:r>
      <w:proofErr w:type="spellStart"/>
      <w:r w:rsidRPr="00423481">
        <w:rPr>
          <w:rFonts w:ascii="Arial" w:hAnsi="Arial" w:cs="Arial"/>
          <w:sz w:val="22"/>
          <w:szCs w:val="22"/>
        </w:rPr>
        <w:t>demersal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species present in Northern Panay Gulf using catch landings data. Fish samples taken by </w:t>
      </w:r>
      <w:proofErr w:type="spellStart"/>
      <w:r w:rsidRPr="00423481">
        <w:rPr>
          <w:rFonts w:ascii="Arial" w:hAnsi="Arial" w:cs="Arial"/>
          <w:sz w:val="22"/>
          <w:szCs w:val="22"/>
        </w:rPr>
        <w:t>demersal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23481">
        <w:rPr>
          <w:rFonts w:ascii="Arial" w:hAnsi="Arial" w:cs="Arial"/>
          <w:sz w:val="22"/>
          <w:szCs w:val="22"/>
        </w:rPr>
        <w:t>longline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fishing operated in </w:t>
      </w:r>
      <w:proofErr w:type="spellStart"/>
      <w:r w:rsidRPr="00423481">
        <w:rPr>
          <w:rFonts w:ascii="Arial" w:hAnsi="Arial" w:cs="Arial"/>
          <w:sz w:val="22"/>
          <w:szCs w:val="22"/>
        </w:rPr>
        <w:t>Miagao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Iloilo underwent meristic and morphometric analyses for identification and fishery characterization. After a total of 17 fishing operations from February to March 2016, 469 finfishes falling under 59 species and 26 families were sampled. Index of Relative Importance (IRI) was topped by family </w:t>
      </w:r>
      <w:proofErr w:type="spellStart"/>
      <w:r w:rsidRPr="00423481">
        <w:rPr>
          <w:rFonts w:ascii="Arial" w:hAnsi="Arial" w:cs="Arial"/>
          <w:sz w:val="22"/>
          <w:szCs w:val="22"/>
        </w:rPr>
        <w:t>Nemipteridae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(121.06%) and trailed by families </w:t>
      </w:r>
      <w:proofErr w:type="spellStart"/>
      <w:r w:rsidRPr="00423481">
        <w:rPr>
          <w:rFonts w:ascii="Arial" w:hAnsi="Arial" w:cs="Arial"/>
          <w:sz w:val="22"/>
          <w:szCs w:val="22"/>
        </w:rPr>
        <w:t>Gobiidae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(35.60%), </w:t>
      </w:r>
      <w:proofErr w:type="spellStart"/>
      <w:r w:rsidRPr="00423481">
        <w:rPr>
          <w:rFonts w:ascii="Arial" w:hAnsi="Arial" w:cs="Arial"/>
          <w:sz w:val="22"/>
          <w:szCs w:val="22"/>
        </w:rPr>
        <w:t>Lutjanidae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(34.78%), </w:t>
      </w:r>
      <w:proofErr w:type="spellStart"/>
      <w:r w:rsidRPr="00423481">
        <w:rPr>
          <w:rFonts w:ascii="Arial" w:hAnsi="Arial" w:cs="Arial"/>
          <w:sz w:val="22"/>
          <w:szCs w:val="22"/>
        </w:rPr>
        <w:t>Apogonidae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(23.64%), </w:t>
      </w:r>
      <w:proofErr w:type="spellStart"/>
      <w:r w:rsidRPr="00423481">
        <w:rPr>
          <w:rFonts w:ascii="Arial" w:hAnsi="Arial" w:cs="Arial"/>
          <w:sz w:val="22"/>
          <w:szCs w:val="22"/>
        </w:rPr>
        <w:t>Muraenidae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(13.99%), </w:t>
      </w:r>
      <w:proofErr w:type="spellStart"/>
      <w:r w:rsidRPr="00423481">
        <w:rPr>
          <w:rFonts w:ascii="Arial" w:hAnsi="Arial" w:cs="Arial"/>
          <w:sz w:val="22"/>
          <w:szCs w:val="22"/>
        </w:rPr>
        <w:t>Priacanthidae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(11.83%), </w:t>
      </w:r>
      <w:proofErr w:type="spellStart"/>
      <w:r w:rsidRPr="00423481">
        <w:rPr>
          <w:rFonts w:ascii="Arial" w:hAnsi="Arial" w:cs="Arial"/>
          <w:sz w:val="22"/>
          <w:szCs w:val="22"/>
        </w:rPr>
        <w:t>Serranidae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(9.02%), </w:t>
      </w:r>
      <w:proofErr w:type="spellStart"/>
      <w:r w:rsidRPr="00423481">
        <w:rPr>
          <w:rFonts w:ascii="Arial" w:hAnsi="Arial" w:cs="Arial"/>
          <w:sz w:val="22"/>
          <w:szCs w:val="22"/>
        </w:rPr>
        <w:t>Synodontidae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(9.01%), </w:t>
      </w:r>
      <w:proofErr w:type="spellStart"/>
      <w:r w:rsidRPr="00423481">
        <w:rPr>
          <w:rFonts w:ascii="Arial" w:hAnsi="Arial" w:cs="Arial"/>
          <w:sz w:val="22"/>
          <w:szCs w:val="22"/>
        </w:rPr>
        <w:t>Lethrinidae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(5.59%), </w:t>
      </w:r>
      <w:proofErr w:type="spellStart"/>
      <w:r w:rsidRPr="00423481">
        <w:rPr>
          <w:rFonts w:ascii="Arial" w:hAnsi="Arial" w:cs="Arial"/>
          <w:sz w:val="22"/>
          <w:szCs w:val="22"/>
        </w:rPr>
        <w:t>Mullidae</w:t>
      </w:r>
      <w:proofErr w:type="spellEnd"/>
      <w:r w:rsidRPr="00423481">
        <w:rPr>
          <w:rFonts w:ascii="Arial" w:hAnsi="Arial" w:cs="Arial"/>
          <w:sz w:val="22"/>
          <w:szCs w:val="22"/>
        </w:rPr>
        <w:t xml:space="preserve"> (5.07%) and others (30.40%). Shannon diversity index of Northern Panay Gulf was </w:t>
      </w:r>
      <w:r w:rsidRPr="00423481">
        <w:rPr>
          <w:rFonts w:ascii="Arial" w:hAnsi="Arial" w:cs="Arial"/>
          <w:color w:val="000000"/>
          <w:sz w:val="22"/>
          <w:szCs w:val="22"/>
        </w:rPr>
        <w:t>1.7439 ± 0.36 with an evenness of 0.82 ± 0.12. CPUE</w:t>
      </w:r>
      <w:r w:rsidRPr="00423481">
        <w:rPr>
          <w:rFonts w:ascii="Arial" w:hAnsi="Arial" w:cs="Arial"/>
          <w:color w:val="000000"/>
          <w:sz w:val="22"/>
          <w:szCs w:val="22"/>
          <w:vertAlign w:val="subscript"/>
        </w:rPr>
        <w:t>1</w:t>
      </w:r>
      <w:r w:rsidRPr="00423481">
        <w:rPr>
          <w:rFonts w:ascii="Arial" w:hAnsi="Arial" w:cs="Arial"/>
          <w:color w:val="000000"/>
          <w:sz w:val="22"/>
          <w:szCs w:val="22"/>
        </w:rPr>
        <w:t xml:space="preserve"> was 5 ± 2.26 individuals per 100 hooks while CPUE</w:t>
      </w:r>
      <w:r w:rsidRPr="00423481">
        <w:rPr>
          <w:rFonts w:ascii="Arial" w:hAnsi="Arial" w:cs="Arial"/>
          <w:color w:val="000000"/>
          <w:sz w:val="22"/>
          <w:szCs w:val="22"/>
          <w:vertAlign w:val="subscript"/>
        </w:rPr>
        <w:t>2</w:t>
      </w:r>
      <w:r w:rsidRPr="00423481">
        <w:rPr>
          <w:rFonts w:ascii="Arial" w:hAnsi="Arial" w:cs="Arial"/>
          <w:color w:val="000000"/>
          <w:sz w:val="22"/>
          <w:szCs w:val="22"/>
        </w:rPr>
        <w:t xml:space="preserve"> was 285.56 ± 108.63 grams per 100 hooks. </w:t>
      </w:r>
      <w:r w:rsidRPr="00423481">
        <w:rPr>
          <w:rFonts w:ascii="Arial" w:hAnsi="Arial" w:cs="Arial"/>
          <w:sz w:val="22"/>
          <w:szCs w:val="22"/>
        </w:rPr>
        <w:t>Catch rate (CR</w:t>
      </w:r>
      <w:r w:rsidRPr="00423481">
        <w:rPr>
          <w:rFonts w:ascii="Arial" w:hAnsi="Arial" w:cs="Arial"/>
          <w:sz w:val="22"/>
          <w:szCs w:val="22"/>
          <w:vertAlign w:val="subscript"/>
        </w:rPr>
        <w:t>1</w:t>
      </w:r>
      <w:r w:rsidRPr="00423481">
        <w:rPr>
          <w:rFonts w:ascii="Arial" w:hAnsi="Arial" w:cs="Arial"/>
          <w:sz w:val="22"/>
          <w:szCs w:val="22"/>
        </w:rPr>
        <w:t xml:space="preserve">) was </w:t>
      </w:r>
      <w:r w:rsidRPr="00423481">
        <w:rPr>
          <w:rFonts w:ascii="Arial" w:hAnsi="Arial" w:cs="Arial"/>
          <w:color w:val="000000"/>
          <w:sz w:val="22"/>
          <w:szCs w:val="22"/>
        </w:rPr>
        <w:t>48 ± 26 individuals per hour while CR</w:t>
      </w:r>
      <w:r w:rsidRPr="00423481">
        <w:rPr>
          <w:rFonts w:ascii="Arial" w:hAnsi="Arial" w:cs="Arial"/>
          <w:color w:val="000000"/>
          <w:sz w:val="22"/>
          <w:szCs w:val="22"/>
          <w:vertAlign w:val="subscript"/>
        </w:rPr>
        <w:t xml:space="preserve">2 </w:t>
      </w:r>
      <w:r w:rsidRPr="00423481">
        <w:rPr>
          <w:rFonts w:ascii="Arial" w:hAnsi="Arial" w:cs="Arial"/>
          <w:color w:val="000000"/>
          <w:sz w:val="22"/>
          <w:szCs w:val="22"/>
        </w:rPr>
        <w:t xml:space="preserve">was 2457.81 ± 1085.47 grams per hour. Results show that Northern Panay Gulf holds a wide diversity of species but with a low density. </w:t>
      </w:r>
      <w:r w:rsidRPr="00423481">
        <w:rPr>
          <w:rFonts w:ascii="Arial" w:hAnsi="Arial" w:cs="Arial"/>
          <w:sz w:val="22"/>
          <w:szCs w:val="22"/>
        </w:rPr>
        <w:t>This allows the conclusion that the low CPUE and catch rates revealed in this study is due to the low density stock of the fishing ground.</w:t>
      </w:r>
    </w:p>
    <w:p w:rsidR="0027559B" w:rsidRDefault="00F67F4A"/>
    <w:sectPr w:rsidR="00275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F4A"/>
    <w:rsid w:val="00E110E0"/>
    <w:rsid w:val="00F67F4A"/>
    <w:rsid w:val="00F9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 Gaurana</dc:creator>
  <cp:lastModifiedBy>Pre Gaurana</cp:lastModifiedBy>
  <cp:revision>1</cp:revision>
  <dcterms:created xsi:type="dcterms:W3CDTF">2016-06-26T10:19:00Z</dcterms:created>
  <dcterms:modified xsi:type="dcterms:W3CDTF">2016-06-26T10:21:00Z</dcterms:modified>
</cp:coreProperties>
</file>