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E2B" w:rsidRPr="00894E2B" w:rsidRDefault="00894E2B" w:rsidP="00894E2B">
      <w:pPr>
        <w:rPr>
          <w:rFonts w:cs="Calibri"/>
        </w:rPr>
      </w:pPr>
      <w:r w:rsidRPr="00104CDC">
        <w:rPr>
          <w:rFonts w:cs="Calibri"/>
          <w:b/>
        </w:rPr>
        <w:t>Title:</w:t>
      </w:r>
      <w:r w:rsidRPr="00B62335">
        <w:rPr>
          <w:rFonts w:cs="Calibri"/>
        </w:rPr>
        <w:t xml:space="preserve"> </w:t>
      </w:r>
      <w:proofErr w:type="spellStart"/>
      <w:r w:rsidRPr="00B62335">
        <w:rPr>
          <w:rFonts w:cs="Calibri"/>
        </w:rPr>
        <w:t>Placento</w:t>
      </w:r>
      <w:proofErr w:type="spellEnd"/>
      <w:r w:rsidRPr="00B62335">
        <w:rPr>
          <w:rFonts w:cs="Calibri"/>
        </w:rPr>
        <w:t>-cranial adhesion</w:t>
      </w:r>
      <w:bookmarkStart w:id="0" w:name="_GoBack"/>
      <w:bookmarkEnd w:id="0"/>
      <w:r>
        <w:rPr>
          <w:rFonts w:cs="Calibri"/>
        </w:rPr>
        <w:t xml:space="preserve">: Separate </w:t>
      </w:r>
      <w:proofErr w:type="spellStart"/>
      <w:r>
        <w:rPr>
          <w:rFonts w:cs="Calibri"/>
        </w:rPr>
        <w:t>s</w:t>
      </w:r>
      <w:r w:rsidRPr="00B62335">
        <w:rPr>
          <w:rFonts w:cs="Calibri"/>
        </w:rPr>
        <w:t>yndromic</w:t>
      </w:r>
      <w:proofErr w:type="spellEnd"/>
      <w:r w:rsidRPr="00B62335">
        <w:rPr>
          <w:rFonts w:cs="Calibri"/>
        </w:rPr>
        <w:t xml:space="preserve"> association or </w:t>
      </w:r>
      <w:r>
        <w:rPr>
          <w:rFonts w:cs="Calibri"/>
        </w:rPr>
        <w:t>part of</w:t>
      </w:r>
      <w:r w:rsidRPr="00B62335">
        <w:rPr>
          <w:rFonts w:cs="Calibri"/>
        </w:rPr>
        <w:t xml:space="preserve"> amniotic band syndrome</w:t>
      </w:r>
      <w:r>
        <w:rPr>
          <w:rFonts w:cs="Calibri"/>
        </w:rPr>
        <w:t>?</w:t>
      </w:r>
    </w:p>
    <w:p w:rsidR="00894E2B" w:rsidRDefault="00894E2B" w:rsidP="00894E2B">
      <w:pPr>
        <w:autoSpaceDE w:val="0"/>
        <w:autoSpaceDN w:val="0"/>
        <w:adjustRightInd w:val="0"/>
        <w:spacing w:after="0"/>
        <w:jc w:val="both"/>
        <w:rPr>
          <w:rFonts w:ascii="Times New Roman" w:hAnsi="Times New Roman"/>
          <w:b/>
          <w:sz w:val="24"/>
          <w:szCs w:val="24"/>
        </w:rPr>
      </w:pPr>
      <w:r>
        <w:rPr>
          <w:rFonts w:ascii="Times New Roman" w:hAnsi="Times New Roman"/>
          <w:b/>
          <w:sz w:val="24"/>
          <w:szCs w:val="24"/>
        </w:rPr>
        <w:t>Abstract</w:t>
      </w:r>
    </w:p>
    <w:p w:rsidR="00894E2B" w:rsidRDefault="00894E2B" w:rsidP="00894E2B">
      <w:pPr>
        <w:autoSpaceDE w:val="0"/>
        <w:autoSpaceDN w:val="0"/>
        <w:adjustRightInd w:val="0"/>
        <w:spacing w:after="0"/>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Objective: To critically examine extremely rare cases of </w:t>
      </w:r>
      <w:proofErr w:type="spellStart"/>
      <w:r>
        <w:rPr>
          <w:rFonts w:ascii="Arial" w:hAnsi="Arial" w:cs="Arial"/>
          <w:color w:val="000000"/>
          <w:sz w:val="20"/>
          <w:szCs w:val="20"/>
          <w:shd w:val="clear" w:color="auto" w:fill="FFFFFF"/>
        </w:rPr>
        <w:t>placento</w:t>
      </w:r>
      <w:proofErr w:type="spellEnd"/>
      <w:r>
        <w:rPr>
          <w:rFonts w:ascii="Arial" w:hAnsi="Arial" w:cs="Arial"/>
          <w:color w:val="000000"/>
          <w:sz w:val="20"/>
          <w:szCs w:val="20"/>
          <w:shd w:val="clear" w:color="auto" w:fill="FFFFFF"/>
        </w:rPr>
        <w:t>-cranial adhesions and to note common features in such cases </w:t>
      </w:r>
    </w:p>
    <w:p w:rsidR="00894E2B" w:rsidRDefault="00894E2B" w:rsidP="00894E2B">
      <w:pPr>
        <w:autoSpaceDE w:val="0"/>
        <w:autoSpaceDN w:val="0"/>
        <w:adjustRightInd w:val="0"/>
        <w:spacing w:after="0"/>
        <w:jc w:val="both"/>
        <w:rPr>
          <w:rFonts w:ascii="Arial" w:hAnsi="Arial" w:cs="Arial"/>
          <w:color w:val="000000"/>
          <w:sz w:val="20"/>
          <w:szCs w:val="20"/>
          <w:shd w:val="clear" w:color="auto" w:fill="FFFFFF"/>
        </w:rPr>
      </w:pPr>
    </w:p>
    <w:p w:rsidR="00894E2B" w:rsidRDefault="00894E2B" w:rsidP="00894E2B">
      <w:pPr>
        <w:autoSpaceDE w:val="0"/>
        <w:autoSpaceDN w:val="0"/>
        <w:adjustRightInd w:val="0"/>
        <w:spacing w:after="0"/>
        <w:jc w:val="both"/>
      </w:pPr>
      <w:r>
        <w:rPr>
          <w:rFonts w:ascii="Arial" w:hAnsi="Arial" w:cs="Arial"/>
          <w:color w:val="000000"/>
          <w:sz w:val="20"/>
          <w:szCs w:val="20"/>
          <w:shd w:val="clear" w:color="auto" w:fill="FFFFFF"/>
        </w:rPr>
        <w:t xml:space="preserve">Material and methods: </w:t>
      </w:r>
      <w:r>
        <w:t>Four intra uterine death cases showing direct attachment of placenta to fetal head were included. Complete autopsy was done and features shared by all the cases were noted. </w:t>
      </w:r>
    </w:p>
    <w:p w:rsidR="00894E2B" w:rsidRDefault="00894E2B" w:rsidP="00894E2B">
      <w:pPr>
        <w:autoSpaceDE w:val="0"/>
        <w:autoSpaceDN w:val="0"/>
        <w:adjustRightInd w:val="0"/>
        <w:spacing w:after="0"/>
        <w:jc w:val="both"/>
      </w:pPr>
    </w:p>
    <w:p w:rsidR="00894E2B" w:rsidRDefault="00894E2B" w:rsidP="00894E2B">
      <w:pPr>
        <w:autoSpaceDE w:val="0"/>
        <w:autoSpaceDN w:val="0"/>
        <w:adjustRightInd w:val="0"/>
        <w:spacing w:after="0"/>
        <w:jc w:val="both"/>
      </w:pPr>
      <w:r>
        <w:t xml:space="preserve">Results: All the four cases showed placental attachment to fetal head, absence of flat bones of skull, anencephaly, </w:t>
      </w:r>
      <w:proofErr w:type="spellStart"/>
      <w:r>
        <w:t>dysmorphic</w:t>
      </w:r>
      <w:proofErr w:type="spellEnd"/>
      <w:r>
        <w:t xml:space="preserve"> facial features including nasal cleft, short umbilical cord, </w:t>
      </w:r>
      <w:proofErr w:type="gramStart"/>
      <w:r>
        <w:t>low</w:t>
      </w:r>
      <w:proofErr w:type="gramEnd"/>
      <w:r>
        <w:t xml:space="preserve"> weight for gestation, and limb/digit amputation with </w:t>
      </w:r>
      <w:proofErr w:type="spellStart"/>
      <w:r>
        <w:t>oligohydramnios</w:t>
      </w:r>
      <w:proofErr w:type="spellEnd"/>
      <w:r>
        <w:t>. </w:t>
      </w:r>
    </w:p>
    <w:p w:rsidR="00894E2B" w:rsidRDefault="00894E2B" w:rsidP="00894E2B">
      <w:pPr>
        <w:autoSpaceDE w:val="0"/>
        <w:autoSpaceDN w:val="0"/>
        <w:adjustRightInd w:val="0"/>
        <w:spacing w:after="0"/>
        <w:jc w:val="both"/>
      </w:pPr>
    </w:p>
    <w:p w:rsidR="00894E2B" w:rsidRDefault="00894E2B" w:rsidP="00894E2B">
      <w:pPr>
        <w:autoSpaceDE w:val="0"/>
        <w:autoSpaceDN w:val="0"/>
        <w:adjustRightInd w:val="0"/>
        <w:spacing w:after="0"/>
        <w:jc w:val="both"/>
        <w:rPr>
          <w:rFonts w:ascii="Times New Roman" w:hAnsi="Times New Roman"/>
          <w:b/>
          <w:sz w:val="24"/>
          <w:szCs w:val="24"/>
        </w:rPr>
      </w:pPr>
      <w:r>
        <w:t xml:space="preserve">Conclusion: We are proposing that there are grounds for </w:t>
      </w:r>
      <w:proofErr w:type="spellStart"/>
      <w:r>
        <w:t>syndromic</w:t>
      </w:r>
      <w:proofErr w:type="spellEnd"/>
      <w:r>
        <w:t xml:space="preserve"> association of the features mentioned above. These cases ought to be differentiated from </w:t>
      </w:r>
      <w:proofErr w:type="spellStart"/>
      <w:r>
        <w:t>acrania</w:t>
      </w:r>
      <w:proofErr w:type="spellEnd"/>
      <w:r>
        <w:t xml:space="preserve">, </w:t>
      </w:r>
      <w:proofErr w:type="spellStart"/>
      <w:r>
        <w:t>acalvaria</w:t>
      </w:r>
      <w:proofErr w:type="spellEnd"/>
      <w:r>
        <w:t xml:space="preserve"> and anencephaly. It might be prudent to consider placenta-cranial adhesion under separate category rather than all inclusive amniotic band syndrome. Furthermore it is imperative that whenever such cases are identified termination of pregnancy should be considered. The article also underscores the importance of fetal autopsies</w:t>
      </w:r>
    </w:p>
    <w:p w:rsidR="00EE45BD" w:rsidRDefault="00EE45BD"/>
    <w:sectPr w:rsidR="00EE45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119"/>
    <w:rsid w:val="00104119"/>
    <w:rsid w:val="00894E2B"/>
    <w:rsid w:val="00EE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9EB219-52F9-41F8-AC67-89DCC925A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4E2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1022</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2019-02-22T05:52:00Z</dcterms:created>
  <dcterms:modified xsi:type="dcterms:W3CDTF">2019-02-22T05:52:00Z</dcterms:modified>
</cp:coreProperties>
</file>