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72" w:rsidRDefault="002D1C72" w:rsidP="0062147F">
      <w:pPr>
        <w:jc w:val="both"/>
        <w:rPr>
          <w:rFonts w:ascii="Times New Roman" w:hAnsi="Times New Roman"/>
          <w:sz w:val="24"/>
          <w:szCs w:val="24"/>
        </w:rPr>
      </w:pPr>
    </w:p>
    <w:p w:rsidR="002D1C72" w:rsidRPr="001D4094" w:rsidRDefault="002D1C72" w:rsidP="0062147F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62147F">
        <w:rPr>
          <w:rFonts w:ascii="Times New Roman" w:hAnsi="Times New Roman"/>
          <w:sz w:val="24"/>
          <w:szCs w:val="24"/>
          <w:lang w:val="en-US"/>
        </w:rPr>
        <w:t xml:space="preserve">SECONDARY OXALATE NEPHROPATHY IN CHILDREN WITH ALLERGIC </w:t>
      </w:r>
      <w:r>
        <w:rPr>
          <w:rFonts w:ascii="Times New Roman" w:hAnsi="Times New Roman"/>
          <w:sz w:val="24"/>
          <w:szCs w:val="24"/>
          <w:lang w:val="en-US"/>
        </w:rPr>
        <w:t>PATHOLOGY</w:t>
      </w:r>
    </w:p>
    <w:p w:rsidR="002D1C72" w:rsidRPr="001D4094" w:rsidRDefault="002D1C72" w:rsidP="000A36C1">
      <w:pPr>
        <w:jc w:val="center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Artikova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M.A</w:t>
      </w:r>
      <w:r w:rsidR="001D4094" w:rsidRPr="001D4094">
        <w:rPr>
          <w:rFonts w:ascii="Times New Roman" w:hAnsi="Times New Roman"/>
          <w:sz w:val="24"/>
          <w:szCs w:val="24"/>
          <w:lang w:val="en-US"/>
        </w:rPr>
        <w:t>.</w:t>
      </w:r>
      <w:r w:rsidR="001D4094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1D4094">
        <w:rPr>
          <w:rFonts w:ascii="Times New Roman" w:hAnsi="Times New Roman"/>
          <w:sz w:val="24"/>
          <w:szCs w:val="24"/>
          <w:lang w:val="en-US"/>
        </w:rPr>
        <w:t>Axmatalieva</w:t>
      </w:r>
      <w:proofErr w:type="spellEnd"/>
      <w:r w:rsidR="001D4094">
        <w:rPr>
          <w:rFonts w:ascii="Times New Roman" w:hAnsi="Times New Roman"/>
          <w:sz w:val="24"/>
          <w:szCs w:val="24"/>
          <w:lang w:val="en-US"/>
        </w:rPr>
        <w:t xml:space="preserve"> M.A</w:t>
      </w:r>
    </w:p>
    <w:p w:rsidR="002D1C72" w:rsidRDefault="002D1C72" w:rsidP="000A36C1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0A36C1">
        <w:rPr>
          <w:rFonts w:ascii="Times New Roman" w:hAnsi="Times New Roman"/>
          <w:sz w:val="24"/>
          <w:szCs w:val="24"/>
          <w:lang w:val="en-US"/>
        </w:rPr>
        <w:t>Tashkent Pediatric Medical Institute</w:t>
      </w:r>
      <w:r>
        <w:rPr>
          <w:rFonts w:ascii="Times New Roman" w:hAnsi="Times New Roman"/>
          <w:sz w:val="24"/>
          <w:szCs w:val="24"/>
          <w:lang w:val="en-US"/>
        </w:rPr>
        <w:t>, Tashkent, Uzbekistan</w:t>
      </w:r>
    </w:p>
    <w:p w:rsidR="002D1C72" w:rsidRPr="000A36C1" w:rsidRDefault="002D1C72" w:rsidP="0062147F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3C0637">
        <w:rPr>
          <w:rFonts w:ascii="Times New Roman" w:hAnsi="Times New Roman"/>
          <w:b/>
          <w:sz w:val="24"/>
          <w:szCs w:val="24"/>
          <w:lang w:val="en-US"/>
        </w:rPr>
        <w:t>Objectives: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In recent years, there has been a steady increase in the number of children with </w:t>
      </w:r>
      <w:proofErr w:type="spellStart"/>
      <w:r w:rsidRPr="0062147F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62147F">
        <w:rPr>
          <w:rFonts w:ascii="Times New Roman" w:hAnsi="Times New Roman"/>
          <w:sz w:val="24"/>
          <w:szCs w:val="24"/>
          <w:lang w:val="en-US"/>
        </w:rPr>
        <w:t xml:space="preserve"> along with various allergic pathologies. </w:t>
      </w:r>
      <w:proofErr w:type="spellStart"/>
      <w:r w:rsidRPr="001D4094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1D4094">
        <w:rPr>
          <w:rFonts w:ascii="Times New Roman" w:hAnsi="Times New Roman"/>
          <w:sz w:val="24"/>
          <w:szCs w:val="24"/>
          <w:lang w:val="en-US"/>
        </w:rPr>
        <w:t xml:space="preserve"> is the main factor leading to the development of nephrolithiasis.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proofErr w:type="spellStart"/>
      <w:proofErr w:type="gramStart"/>
      <w:r w:rsidR="00556165">
        <w:rPr>
          <w:rFonts w:ascii="Times New Roman" w:hAnsi="Times New Roman"/>
          <w:sz w:val="24"/>
          <w:szCs w:val="24"/>
          <w:lang w:val="en-US"/>
        </w:rPr>
        <w:t>h</w:t>
      </w:r>
      <w:r w:rsidRPr="000A36C1">
        <w:rPr>
          <w:rFonts w:ascii="Times New Roman" w:hAnsi="Times New Roman"/>
          <w:sz w:val="24"/>
          <w:szCs w:val="24"/>
          <w:lang w:val="en-US"/>
        </w:rPr>
        <w:t>yperoxaluria</w:t>
      </w:r>
      <w:proofErr w:type="spellEnd"/>
      <w:r w:rsidRPr="000A36C1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A36C1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0A36C1">
        <w:rPr>
          <w:rFonts w:ascii="Times New Roman" w:hAnsi="Times New Roman"/>
          <w:sz w:val="24"/>
          <w:szCs w:val="24"/>
          <w:lang w:val="en-US"/>
        </w:rPr>
        <w:t xml:space="preserve"> children can be asymptomatic for a long time, leading to secondary oxalate nephropathy, urolithiasis and chronic kidney disease.</w:t>
      </w:r>
      <w:r>
        <w:rPr>
          <w:rFonts w:ascii="Times New Roman" w:hAnsi="Times New Roman"/>
          <w:sz w:val="24"/>
          <w:szCs w:val="24"/>
          <w:lang w:val="en-US"/>
        </w:rPr>
        <w:t xml:space="preserve"> Our objective was to assess </w:t>
      </w:r>
      <w:r w:rsidRPr="000A36C1">
        <w:rPr>
          <w:rFonts w:ascii="Times New Roman" w:hAnsi="Times New Roman"/>
          <w:sz w:val="24"/>
          <w:szCs w:val="24"/>
          <w:lang w:val="en-US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 xml:space="preserve"> clinical features of </w:t>
      </w:r>
      <w:r w:rsidRPr="000A36C1">
        <w:rPr>
          <w:rFonts w:ascii="Times New Roman" w:hAnsi="Times New Roman"/>
          <w:sz w:val="24"/>
          <w:szCs w:val="24"/>
          <w:lang w:val="en-US"/>
        </w:rPr>
        <w:t xml:space="preserve">patients with </w:t>
      </w:r>
      <w:proofErr w:type="spellStart"/>
      <w:r w:rsidRPr="000A36C1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0A36C1">
        <w:rPr>
          <w:rFonts w:ascii="Times New Roman" w:hAnsi="Times New Roman"/>
          <w:sz w:val="24"/>
          <w:szCs w:val="24"/>
          <w:lang w:val="en-US"/>
        </w:rPr>
        <w:t xml:space="preserve"> in combination with allergic pathology.</w:t>
      </w:r>
    </w:p>
    <w:p w:rsidR="002D1C72" w:rsidRPr="001074F4" w:rsidRDefault="002D1C72" w:rsidP="0062147F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3C0637">
        <w:rPr>
          <w:rFonts w:ascii="Times New Roman" w:hAnsi="Times New Roman"/>
          <w:b/>
          <w:sz w:val="24"/>
          <w:szCs w:val="24"/>
          <w:lang w:val="en-US"/>
        </w:rPr>
        <w:t>Materials and methods: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074F4">
        <w:rPr>
          <w:rFonts w:ascii="Times New Roman" w:hAnsi="Times New Roman"/>
          <w:sz w:val="24"/>
          <w:szCs w:val="24"/>
          <w:lang w:val="en-US"/>
        </w:rPr>
        <w:t>We observed 103 patients with secondary oxalate nephropathy (</w:t>
      </w:r>
      <w:proofErr w:type="spellStart"/>
      <w:r w:rsidRPr="001074F4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1074F4">
        <w:rPr>
          <w:rFonts w:ascii="Times New Roman" w:hAnsi="Times New Roman"/>
          <w:sz w:val="24"/>
          <w:szCs w:val="24"/>
          <w:lang w:val="en-US"/>
        </w:rPr>
        <w:t xml:space="preserve">) aged 6 months to 7 years with a glomerular filtration rate above 60 ml / min. The median age of the patients was 3.48. All children underwent a general clinical examination: oxalates in daily urine were determined, urine flow cytometry was performed, </w:t>
      </w:r>
      <w:proofErr w:type="spellStart"/>
      <w:r w:rsidRPr="001074F4">
        <w:rPr>
          <w:rFonts w:ascii="Times New Roman" w:hAnsi="Times New Roman"/>
          <w:sz w:val="24"/>
          <w:szCs w:val="24"/>
          <w:lang w:val="en-US"/>
        </w:rPr>
        <w:t>microalbumin</w:t>
      </w:r>
      <w:proofErr w:type="spellEnd"/>
      <w:r w:rsidRPr="001074F4">
        <w:rPr>
          <w:rFonts w:ascii="Times New Roman" w:hAnsi="Times New Roman"/>
          <w:sz w:val="24"/>
          <w:szCs w:val="24"/>
          <w:lang w:val="en-US"/>
        </w:rPr>
        <w:t xml:space="preserve"> in urine was determined, a general blood test, biochemical blood tests, determination of </w:t>
      </w:r>
      <w:proofErr w:type="gramStart"/>
      <w:r w:rsidRPr="001074F4">
        <w:rPr>
          <w:rFonts w:ascii="Times New Roman" w:hAnsi="Times New Roman"/>
          <w:sz w:val="24"/>
          <w:szCs w:val="24"/>
          <w:lang w:val="en-US"/>
        </w:rPr>
        <w:t>immunoglobulin</w:t>
      </w:r>
      <w:proofErr w:type="gramEnd"/>
      <w:r w:rsidRPr="001074F4">
        <w:rPr>
          <w:rFonts w:ascii="Times New Roman" w:hAnsi="Times New Roman"/>
          <w:sz w:val="24"/>
          <w:szCs w:val="24"/>
          <w:lang w:val="en-US"/>
        </w:rPr>
        <w:t xml:space="preserve"> E in the blood, bacteriological examination of feces for quantitative and qualitative composition of microflora were performed.</w:t>
      </w:r>
    </w:p>
    <w:p w:rsidR="002D1C72" w:rsidRDefault="002D1C72" w:rsidP="0062147F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3C0637">
        <w:rPr>
          <w:rFonts w:ascii="Times New Roman" w:hAnsi="Times New Roman"/>
          <w:b/>
          <w:sz w:val="24"/>
          <w:szCs w:val="24"/>
          <w:lang w:val="en-US"/>
        </w:rPr>
        <w:t>Results:</w:t>
      </w:r>
      <w:r>
        <w:rPr>
          <w:rFonts w:ascii="Times New Roman" w:hAnsi="Times New Roman"/>
          <w:sz w:val="24"/>
          <w:szCs w:val="24"/>
          <w:lang w:val="en-US"/>
        </w:rPr>
        <w:t xml:space="preserve"> F</w:t>
      </w:r>
      <w:r w:rsidRPr="0062147F">
        <w:rPr>
          <w:rFonts w:ascii="Times New Roman" w:hAnsi="Times New Roman"/>
          <w:sz w:val="24"/>
          <w:szCs w:val="24"/>
          <w:lang w:val="en-US"/>
        </w:rPr>
        <w:t>ood allergies were identified in 18% of cases</w:t>
      </w:r>
      <w:r>
        <w:rPr>
          <w:rFonts w:ascii="Times New Roman" w:hAnsi="Times New Roman"/>
          <w:sz w:val="24"/>
          <w:szCs w:val="24"/>
          <w:lang w:val="en-US"/>
        </w:rPr>
        <w:t xml:space="preserve"> (9 patients)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7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,7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% of cases (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8 </w:t>
      </w:r>
      <w:r>
        <w:rPr>
          <w:rFonts w:ascii="Times New Roman" w:hAnsi="Times New Roman"/>
          <w:sz w:val="24"/>
          <w:szCs w:val="24"/>
          <w:lang w:val="en-US"/>
        </w:rPr>
        <w:t xml:space="preserve">patients) had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urticaria</w:t>
      </w:r>
      <w:proofErr w:type="spellEnd"/>
      <w:r w:rsidRPr="0062147F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23%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24 </w:t>
      </w:r>
      <w:r>
        <w:rPr>
          <w:rFonts w:ascii="Times New Roman" w:hAnsi="Times New Roman"/>
          <w:sz w:val="24"/>
          <w:szCs w:val="24"/>
          <w:lang w:val="en-US"/>
        </w:rPr>
        <w:t>patients) had vasomotor rhinitis, 8,73% (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9 </w:t>
      </w:r>
      <w:r>
        <w:rPr>
          <w:rFonts w:ascii="Times New Roman" w:hAnsi="Times New Roman"/>
          <w:sz w:val="24"/>
          <w:szCs w:val="24"/>
          <w:lang w:val="en-US"/>
        </w:rPr>
        <w:t xml:space="preserve">patients) had atopic dermatitis </w:t>
      </w:r>
      <w:r w:rsidRPr="0062147F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492510">
        <w:rPr>
          <w:rFonts w:ascii="Times New Roman" w:hAnsi="Times New Roman"/>
          <w:sz w:val="24"/>
          <w:szCs w:val="24"/>
          <w:lang w:val="en-US"/>
        </w:rPr>
        <w:t xml:space="preserve">It was found that 28 children (27%) had a combination of allergic pathologies, such as vasomotor rhinitis and </w:t>
      </w:r>
      <w:proofErr w:type="spellStart"/>
      <w:r w:rsidRPr="00492510">
        <w:rPr>
          <w:rFonts w:ascii="Times New Roman" w:hAnsi="Times New Roman"/>
          <w:sz w:val="24"/>
          <w:szCs w:val="24"/>
          <w:lang w:val="en-US"/>
        </w:rPr>
        <w:t>urticaria</w:t>
      </w:r>
      <w:proofErr w:type="spellEnd"/>
      <w:r w:rsidRPr="00492510">
        <w:rPr>
          <w:rFonts w:ascii="Times New Roman" w:hAnsi="Times New Roman"/>
          <w:sz w:val="24"/>
          <w:szCs w:val="24"/>
          <w:lang w:val="en-US"/>
        </w:rPr>
        <w:t xml:space="preserve">, atopic dermatitis and vasomotor rhinitis. In children with an existing allergic pathology, the clinical course of oxalate nephropathy was more pronounced than in children without </w:t>
      </w:r>
      <w:r>
        <w:rPr>
          <w:rFonts w:ascii="Times New Roman" w:hAnsi="Times New Roman"/>
          <w:sz w:val="24"/>
          <w:szCs w:val="24"/>
          <w:lang w:val="en-US"/>
        </w:rPr>
        <w:t>allergic pathology</w:t>
      </w:r>
      <w:r w:rsidRPr="00492510">
        <w:rPr>
          <w:rFonts w:ascii="Times New Roman" w:hAnsi="Times New Roman"/>
          <w:sz w:val="24"/>
          <w:szCs w:val="24"/>
          <w:lang w:val="en-US"/>
        </w:rPr>
        <w:t>, it was found that children with an aggravated aller</w:t>
      </w:r>
      <w:r>
        <w:rPr>
          <w:rFonts w:ascii="Times New Roman" w:hAnsi="Times New Roman"/>
          <w:sz w:val="24"/>
          <w:szCs w:val="24"/>
          <w:lang w:val="en-US"/>
        </w:rPr>
        <w:t>gic history were part of the often ill children</w:t>
      </w:r>
      <w:r w:rsidRPr="00492510">
        <w:rPr>
          <w:rFonts w:ascii="Times New Roman" w:hAnsi="Times New Roman"/>
          <w:sz w:val="24"/>
          <w:szCs w:val="24"/>
          <w:lang w:val="en-US"/>
        </w:rPr>
        <w:t xml:space="preserve"> group and</w:t>
      </w:r>
      <w:r>
        <w:rPr>
          <w:rFonts w:ascii="Times New Roman" w:hAnsi="Times New Roman"/>
          <w:sz w:val="24"/>
          <w:szCs w:val="24"/>
          <w:lang w:val="en-US"/>
        </w:rPr>
        <w:t xml:space="preserve"> therefore received frequent therapy with antibiotics</w:t>
      </w:r>
      <w:r w:rsidRPr="00492510">
        <w:rPr>
          <w:rFonts w:ascii="Times New Roman" w:hAnsi="Times New Roman"/>
          <w:sz w:val="24"/>
          <w:szCs w:val="24"/>
          <w:lang w:val="en-US"/>
        </w:rPr>
        <w:t xml:space="preserve"> in which the degree of </w:t>
      </w:r>
      <w:proofErr w:type="spellStart"/>
      <w:r w:rsidRPr="00492510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492510">
        <w:rPr>
          <w:rFonts w:ascii="Times New Roman" w:hAnsi="Times New Roman"/>
          <w:sz w:val="24"/>
          <w:szCs w:val="24"/>
          <w:lang w:val="en-US"/>
        </w:rPr>
        <w:t xml:space="preserve"> was more pronounced, characterized by micr</w:t>
      </w:r>
      <w:r>
        <w:rPr>
          <w:rFonts w:ascii="Times New Roman" w:hAnsi="Times New Roman"/>
          <w:sz w:val="24"/>
          <w:szCs w:val="24"/>
          <w:lang w:val="en-US"/>
        </w:rPr>
        <w:t xml:space="preserve">oalbuminuria and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microhematuria</w:t>
      </w:r>
      <w:proofErr w:type="spellEnd"/>
      <w:r w:rsidRPr="00492510">
        <w:rPr>
          <w:rFonts w:ascii="Times New Roman" w:hAnsi="Times New Roman"/>
          <w:sz w:val="24"/>
          <w:szCs w:val="24"/>
          <w:lang w:val="en-US"/>
        </w:rPr>
        <w:t>.</w:t>
      </w:r>
    </w:p>
    <w:p w:rsidR="002D1C72" w:rsidRPr="001074F4" w:rsidRDefault="002D1C72" w:rsidP="0062147F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3C0637">
        <w:rPr>
          <w:rFonts w:ascii="Times New Roman" w:hAnsi="Times New Roman"/>
          <w:b/>
          <w:sz w:val="24"/>
          <w:szCs w:val="24"/>
          <w:lang w:val="en-US"/>
        </w:rPr>
        <w:t>Conclusions: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074F4">
        <w:rPr>
          <w:rFonts w:ascii="Times New Roman" w:hAnsi="Times New Roman"/>
          <w:sz w:val="24"/>
          <w:szCs w:val="24"/>
          <w:lang w:val="en-US"/>
        </w:rPr>
        <w:t xml:space="preserve">The study showed that among children with </w:t>
      </w:r>
      <w:proofErr w:type="spellStart"/>
      <w:r w:rsidRPr="001074F4">
        <w:rPr>
          <w:rFonts w:ascii="Times New Roman" w:hAnsi="Times New Roman"/>
          <w:sz w:val="24"/>
          <w:szCs w:val="24"/>
          <w:lang w:val="en-US"/>
        </w:rPr>
        <w:t>hyperoxaluria</w:t>
      </w:r>
      <w:proofErr w:type="spellEnd"/>
      <w:r w:rsidRPr="001074F4">
        <w:rPr>
          <w:rFonts w:ascii="Times New Roman" w:hAnsi="Times New Roman"/>
          <w:sz w:val="24"/>
          <w:szCs w:val="24"/>
          <w:lang w:val="en-US"/>
        </w:rPr>
        <w:t xml:space="preserve"> a large number of children with allergic pathology were identified. Allergic pathology as a premorbid background often determines the peculiarity of the course of secondary oxalate nephropathy, in addition, the use of antibiotic therapy leads to a violation of the intestinal microbiome, which increases the risk of nephrolithiasis. Thus, </w:t>
      </w:r>
      <w:proofErr w:type="spellStart"/>
      <w:r w:rsidRPr="001074F4">
        <w:rPr>
          <w:rFonts w:ascii="Times New Roman" w:hAnsi="Times New Roman"/>
          <w:sz w:val="24"/>
          <w:szCs w:val="24"/>
          <w:lang w:val="en-US"/>
        </w:rPr>
        <w:t>allergopathology</w:t>
      </w:r>
      <w:proofErr w:type="spellEnd"/>
      <w:r w:rsidRPr="001074F4">
        <w:rPr>
          <w:rFonts w:ascii="Times New Roman" w:hAnsi="Times New Roman"/>
          <w:sz w:val="24"/>
          <w:szCs w:val="24"/>
          <w:lang w:val="en-US"/>
        </w:rPr>
        <w:t xml:space="preserve"> along with antibiotic therapy can be considered as risk factors for the adverse course of secondary oxalate nephropathy.</w:t>
      </w:r>
    </w:p>
    <w:p w:rsidR="002D1C72" w:rsidRPr="001D4094" w:rsidRDefault="002D1C72" w:rsidP="0062147F">
      <w:pPr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sectPr w:rsidR="002D1C72" w:rsidRPr="001D4094" w:rsidSect="00235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4F"/>
    <w:rsid w:val="000A36C1"/>
    <w:rsid w:val="001074F4"/>
    <w:rsid w:val="001D4094"/>
    <w:rsid w:val="00235E1A"/>
    <w:rsid w:val="002719D7"/>
    <w:rsid w:val="002D1C72"/>
    <w:rsid w:val="00396336"/>
    <w:rsid w:val="003C0637"/>
    <w:rsid w:val="00492510"/>
    <w:rsid w:val="004C564F"/>
    <w:rsid w:val="00556165"/>
    <w:rsid w:val="0062147F"/>
    <w:rsid w:val="00631684"/>
    <w:rsid w:val="00FE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E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271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719D7"/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E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271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719D7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3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SECONDARY OXALATE NEPHROPATHY IN CHILDREN WITH ALLERGIC PATHOLOGY</vt:lpstr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OXALATE NEPHROPATHY IN CHILDREN WITH ALLERGIC PATHOLOGY</dc:title>
  <dc:creator>Timur</dc:creator>
  <cp:lastModifiedBy>Timur</cp:lastModifiedBy>
  <cp:revision>3</cp:revision>
  <dcterms:created xsi:type="dcterms:W3CDTF">2020-01-09T20:44:00Z</dcterms:created>
  <dcterms:modified xsi:type="dcterms:W3CDTF">2020-01-09T20:44:00Z</dcterms:modified>
</cp:coreProperties>
</file>