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17368C" w14:textId="34783F86" w:rsidR="00AE3E37" w:rsidRDefault="00087705">
      <w:pPr>
        <w:pStyle w:val="BodyText"/>
        <w:rPr>
          <w:rFonts w:ascii="Arial"/>
          <w:sz w:val="20"/>
        </w:rPr>
      </w:pPr>
      <w:bookmarkStart w:id="0" w:name="_GoBack"/>
      <w:bookmarkEnd w:id="0"/>
      <w:r>
        <w:rPr>
          <w:rFonts w:ascii="Helvetica" w:eastAsiaTheme="minorHAnsi" w:hAnsi="Helvetica" w:cs="Helvetica"/>
          <w:color w:val="000000"/>
          <w:sz w:val="24"/>
          <w:szCs w:val="24"/>
        </w:rPr>
        <w:t xml:space="preserve">Assessing premarital carrier screening and knowledge about Sickle Cell Disease among university students in Oman. </w:t>
      </w:r>
    </w:p>
    <w:p w14:paraId="0299EA61" w14:textId="77777777" w:rsidR="00AE3E37" w:rsidRDefault="00AE3E37">
      <w:pPr>
        <w:rPr>
          <w:rFonts w:ascii="Arial"/>
          <w:sz w:val="21"/>
          <w:szCs w:val="18"/>
        </w:rPr>
      </w:pPr>
    </w:p>
    <w:p w14:paraId="0429D9C4" w14:textId="6AA6DA19" w:rsidR="00087705" w:rsidRDefault="00087705">
      <w:pPr>
        <w:rPr>
          <w:rFonts w:ascii="Arial"/>
          <w:sz w:val="21"/>
        </w:rPr>
        <w:sectPr w:rsidR="00087705">
          <w:headerReference w:type="default" r:id="rId8"/>
          <w:footerReference w:type="default" r:id="rId9"/>
          <w:type w:val="continuous"/>
          <w:pgSz w:w="11910" w:h="16840"/>
          <w:pgMar w:top="1740" w:right="600" w:bottom="840" w:left="620" w:header="541" w:footer="642" w:gutter="0"/>
          <w:cols w:space="720"/>
        </w:sectPr>
      </w:pPr>
      <w:proofErr w:type="spellStart"/>
      <w:r>
        <w:rPr>
          <w:rFonts w:ascii="Arial"/>
          <w:sz w:val="21"/>
          <w:szCs w:val="18"/>
        </w:rPr>
        <w:t>Dr.Firdous</w:t>
      </w:r>
      <w:proofErr w:type="spellEnd"/>
      <w:r>
        <w:rPr>
          <w:rFonts w:ascii="Arial"/>
          <w:sz w:val="21"/>
          <w:szCs w:val="18"/>
        </w:rPr>
        <w:t xml:space="preserve"> </w:t>
      </w:r>
      <w:proofErr w:type="spellStart"/>
      <w:r>
        <w:rPr>
          <w:rFonts w:ascii="Arial"/>
          <w:sz w:val="21"/>
          <w:szCs w:val="18"/>
        </w:rPr>
        <w:t>Jehan</w:t>
      </w:r>
      <w:proofErr w:type="spellEnd"/>
      <w:r>
        <w:rPr>
          <w:rFonts w:ascii="Arial"/>
          <w:sz w:val="21"/>
          <w:szCs w:val="18"/>
        </w:rPr>
        <w:t xml:space="preserve">, </w:t>
      </w:r>
      <w:proofErr w:type="spellStart"/>
      <w:r>
        <w:rPr>
          <w:rFonts w:ascii="Arial"/>
          <w:sz w:val="21"/>
          <w:szCs w:val="18"/>
        </w:rPr>
        <w:t>Dr</w:t>
      </w:r>
      <w:proofErr w:type="spellEnd"/>
      <w:r>
        <w:rPr>
          <w:rFonts w:ascii="Arial"/>
          <w:sz w:val="21"/>
          <w:szCs w:val="18"/>
        </w:rPr>
        <w:t xml:space="preserve"> Dana AL </w:t>
      </w:r>
      <w:proofErr w:type="spellStart"/>
      <w:r>
        <w:rPr>
          <w:rFonts w:ascii="Arial"/>
          <w:sz w:val="21"/>
          <w:szCs w:val="18"/>
        </w:rPr>
        <w:t>Baali</w:t>
      </w:r>
      <w:proofErr w:type="spellEnd"/>
      <w:r>
        <w:rPr>
          <w:rFonts w:ascii="Arial"/>
          <w:sz w:val="21"/>
          <w:szCs w:val="18"/>
        </w:rPr>
        <w:t xml:space="preserve">, </w:t>
      </w:r>
      <w:proofErr w:type="spellStart"/>
      <w:r>
        <w:rPr>
          <w:rFonts w:ascii="Arial"/>
          <w:sz w:val="21"/>
          <w:szCs w:val="18"/>
        </w:rPr>
        <w:t>Dr</w:t>
      </w:r>
      <w:proofErr w:type="spellEnd"/>
      <w:r>
        <w:rPr>
          <w:rFonts w:ascii="Arial"/>
          <w:sz w:val="21"/>
          <w:szCs w:val="18"/>
        </w:rPr>
        <w:t xml:space="preserve"> </w:t>
      </w:r>
      <w:proofErr w:type="spellStart"/>
      <w:r>
        <w:rPr>
          <w:rFonts w:ascii="Arial"/>
          <w:sz w:val="21"/>
          <w:szCs w:val="18"/>
        </w:rPr>
        <w:t>Muhammed</w:t>
      </w:r>
      <w:proofErr w:type="spellEnd"/>
      <w:r>
        <w:rPr>
          <w:rFonts w:ascii="Arial"/>
          <w:sz w:val="21"/>
          <w:szCs w:val="18"/>
        </w:rPr>
        <w:t xml:space="preserve"> A </w:t>
      </w:r>
      <w:proofErr w:type="spellStart"/>
      <w:r>
        <w:rPr>
          <w:rFonts w:ascii="Arial"/>
          <w:sz w:val="21"/>
          <w:szCs w:val="18"/>
        </w:rPr>
        <w:t>Siddiqui</w:t>
      </w:r>
      <w:proofErr w:type="spellEnd"/>
      <w:r>
        <w:rPr>
          <w:rFonts w:ascii="Arial"/>
          <w:sz w:val="21"/>
          <w:szCs w:val="18"/>
        </w:rPr>
        <w:t xml:space="preserve">, </w:t>
      </w:r>
      <w:proofErr w:type="spellStart"/>
      <w:r>
        <w:rPr>
          <w:rFonts w:ascii="Arial"/>
          <w:sz w:val="21"/>
          <w:szCs w:val="18"/>
        </w:rPr>
        <w:t>Dr</w:t>
      </w:r>
      <w:proofErr w:type="spellEnd"/>
      <w:r>
        <w:rPr>
          <w:rFonts w:ascii="Arial"/>
          <w:sz w:val="21"/>
          <w:szCs w:val="18"/>
        </w:rPr>
        <w:t xml:space="preserve"> </w:t>
      </w:r>
      <w:proofErr w:type="spellStart"/>
      <w:r>
        <w:rPr>
          <w:rFonts w:ascii="Arial"/>
          <w:sz w:val="21"/>
          <w:szCs w:val="18"/>
        </w:rPr>
        <w:t>Shaikh</w:t>
      </w:r>
      <w:proofErr w:type="spellEnd"/>
      <w:r>
        <w:rPr>
          <w:rFonts w:ascii="Arial"/>
          <w:sz w:val="21"/>
          <w:szCs w:val="18"/>
        </w:rPr>
        <w:t xml:space="preserve"> </w:t>
      </w:r>
      <w:proofErr w:type="spellStart"/>
      <w:r>
        <w:rPr>
          <w:rFonts w:ascii="Arial"/>
          <w:sz w:val="21"/>
          <w:szCs w:val="18"/>
        </w:rPr>
        <w:t>Naeem</w:t>
      </w:r>
      <w:proofErr w:type="spellEnd"/>
      <w:r>
        <w:rPr>
          <w:rFonts w:ascii="Arial"/>
          <w:sz w:val="21"/>
          <w:szCs w:val="18"/>
        </w:rPr>
        <w:t xml:space="preserve">, </w:t>
      </w:r>
      <w:proofErr w:type="spellStart"/>
      <w:r>
        <w:rPr>
          <w:rFonts w:ascii="Arial"/>
          <w:sz w:val="21"/>
          <w:szCs w:val="18"/>
        </w:rPr>
        <w:t>Aya</w:t>
      </w:r>
      <w:proofErr w:type="spellEnd"/>
      <w:r>
        <w:rPr>
          <w:rFonts w:ascii="Arial"/>
          <w:sz w:val="21"/>
          <w:szCs w:val="18"/>
        </w:rPr>
        <w:t xml:space="preserve"> AL </w:t>
      </w:r>
      <w:proofErr w:type="spellStart"/>
      <w:r>
        <w:rPr>
          <w:rFonts w:ascii="Arial"/>
          <w:sz w:val="21"/>
          <w:szCs w:val="18"/>
        </w:rPr>
        <w:t>Rashdi</w:t>
      </w:r>
      <w:proofErr w:type="spellEnd"/>
      <w:r>
        <w:rPr>
          <w:rFonts w:ascii="Arial"/>
          <w:sz w:val="21"/>
          <w:szCs w:val="18"/>
        </w:rPr>
        <w:t xml:space="preserve">, </w:t>
      </w:r>
      <w:proofErr w:type="spellStart"/>
      <w:r>
        <w:rPr>
          <w:rFonts w:ascii="Arial"/>
          <w:sz w:val="21"/>
          <w:szCs w:val="18"/>
        </w:rPr>
        <w:t>Dr</w:t>
      </w:r>
      <w:proofErr w:type="spellEnd"/>
      <w:r>
        <w:rPr>
          <w:rFonts w:ascii="Arial"/>
          <w:sz w:val="21"/>
          <w:szCs w:val="18"/>
        </w:rPr>
        <w:t xml:space="preserve"> </w:t>
      </w:r>
      <w:proofErr w:type="spellStart"/>
      <w:r>
        <w:rPr>
          <w:rFonts w:ascii="Arial"/>
          <w:sz w:val="21"/>
          <w:szCs w:val="18"/>
        </w:rPr>
        <w:t>Tamadhir</w:t>
      </w:r>
      <w:proofErr w:type="spellEnd"/>
      <w:r>
        <w:rPr>
          <w:rFonts w:ascii="Arial"/>
          <w:sz w:val="21"/>
          <w:szCs w:val="18"/>
        </w:rPr>
        <w:t xml:space="preserve"> AL </w:t>
      </w:r>
      <w:proofErr w:type="spellStart"/>
      <w:r>
        <w:rPr>
          <w:rFonts w:ascii="Arial"/>
          <w:sz w:val="21"/>
          <w:szCs w:val="18"/>
        </w:rPr>
        <w:t>Mahrouqi</w:t>
      </w:r>
      <w:proofErr w:type="spellEnd"/>
      <w:r>
        <w:rPr>
          <w:rFonts w:ascii="Arial"/>
          <w:sz w:val="21"/>
          <w:szCs w:val="18"/>
        </w:rPr>
        <w:t xml:space="preserve">, Dina AL </w:t>
      </w:r>
      <w:proofErr w:type="spellStart"/>
      <w:r>
        <w:rPr>
          <w:rFonts w:ascii="Arial"/>
          <w:sz w:val="21"/>
          <w:szCs w:val="18"/>
        </w:rPr>
        <w:t>Hinai</w:t>
      </w:r>
      <w:proofErr w:type="spellEnd"/>
    </w:p>
    <w:p w14:paraId="65C13DD0" w14:textId="14749763" w:rsidR="00AE3E37" w:rsidRDefault="00A9710C">
      <w:pPr>
        <w:pStyle w:val="Heading3"/>
        <w:spacing w:before="147"/>
        <w:jc w:val="both"/>
      </w:pPr>
      <w:r>
        <w:rPr>
          <w:color w:val="BF5A14"/>
        </w:rPr>
        <w:lastRenderedPageBreak/>
        <w:t>Abstract</w:t>
      </w:r>
      <w:r w:rsidR="00087705">
        <w:rPr>
          <w:color w:val="BF5A14"/>
        </w:rPr>
        <w:t xml:space="preserve"> </w:t>
      </w:r>
    </w:p>
    <w:p w14:paraId="49B79690"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Background:</w:t>
      </w:r>
    </w:p>
    <w:p w14:paraId="23180029"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 xml:space="preserve">Sickle Cell Disease (SCD) is a group of genetic </w:t>
      </w:r>
      <w:proofErr w:type="gramStart"/>
      <w:r>
        <w:rPr>
          <w:rFonts w:ascii="Helvetica" w:eastAsiaTheme="minorHAnsi" w:hAnsi="Helvetica" w:cs="Helvetica"/>
          <w:color w:val="000000"/>
          <w:sz w:val="24"/>
          <w:szCs w:val="24"/>
        </w:rPr>
        <w:t>diseases which</w:t>
      </w:r>
      <w:proofErr w:type="gramEnd"/>
      <w:r>
        <w:rPr>
          <w:rFonts w:ascii="Helvetica" w:eastAsiaTheme="minorHAnsi" w:hAnsi="Helvetica" w:cs="Helvetica"/>
          <w:color w:val="000000"/>
          <w:sz w:val="24"/>
          <w:szCs w:val="24"/>
        </w:rPr>
        <w:t xml:space="preserve"> is especially prevalent in tropical and subtropical regions. Pre-marital carrier screening is imperative to control this huge burden of morbidity and mortality. The aim of this study is therefore to assess the level of awareness, knowledge and attitude about Sickle Cell Disease and pre-marital carrier screening among undergraduate students. </w:t>
      </w:r>
    </w:p>
    <w:p w14:paraId="6ACAE34F"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p>
    <w:p w14:paraId="047F334E"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 xml:space="preserve">Methods:  </w:t>
      </w:r>
    </w:p>
    <w:p w14:paraId="1EDFF681"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This cross-sectional, descriptive study was conducted with undergraduate medical and pharmacy students studying in the National University Of Science and Technology. Ethical approvals were obtained from institutional review committees. Using non- probability sampling technique, study participants were recruited from National University of Science and Technology. Data collection was carried out using a structured questionnaire. Statistical analysis was performed using SPSS (IBM SPSS Statistics 24.0).</w:t>
      </w:r>
    </w:p>
    <w:p w14:paraId="11006B10"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p>
    <w:p w14:paraId="58180121"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 xml:space="preserve">Results: </w:t>
      </w:r>
    </w:p>
    <w:p w14:paraId="2BF0314C"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lastRenderedPageBreak/>
        <w:t xml:space="preserve">Two hundred and seventy nine (n=289) participants who met the study’s inclusion criteria were participated, of which 27 (9.7%) were males and 252 (90.3%) were females. Majority of study participants (81.4%) were aged between 20-25 years old and single (92.1%). Fifteen percent of the participants were undergraduate pharmacy student and about 85% were medical students. Less than one third (29.1%) of students were tested for SCD earlier, of which 3.8% has SCD and 22.8% had sickle cell trait. </w:t>
      </w:r>
      <w:proofErr w:type="gramStart"/>
      <w:r>
        <w:rPr>
          <w:rFonts w:ascii="Helvetica" w:eastAsiaTheme="minorHAnsi" w:hAnsi="Helvetica" w:cs="Helvetica"/>
          <w:color w:val="000000"/>
          <w:sz w:val="24"/>
          <w:szCs w:val="24"/>
        </w:rPr>
        <w:t>Majority were</w:t>
      </w:r>
      <w:proofErr w:type="gramEnd"/>
      <w:r>
        <w:rPr>
          <w:rFonts w:ascii="Helvetica" w:eastAsiaTheme="minorHAnsi" w:hAnsi="Helvetica" w:cs="Helvetica"/>
          <w:color w:val="000000"/>
          <w:sz w:val="24"/>
          <w:szCs w:val="24"/>
        </w:rPr>
        <w:t xml:space="preserve"> aware of benefits knowing the SCD status in both partners. One third thinks it is hard to convince the partner for screening and 40.5% do not support consanguineous marriage. </w:t>
      </w:r>
    </w:p>
    <w:p w14:paraId="389FF013"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p>
    <w:p w14:paraId="6AC9DCF8"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 xml:space="preserve">Conclusion: </w:t>
      </w:r>
    </w:p>
    <w:p w14:paraId="5D2F0EA7"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4"/>
          <w:szCs w:val="24"/>
        </w:rPr>
      </w:pPr>
      <w:r>
        <w:rPr>
          <w:rFonts w:ascii="Helvetica" w:eastAsiaTheme="minorHAnsi" w:hAnsi="Helvetica" w:cs="Helvetica"/>
          <w:color w:val="000000"/>
          <w:sz w:val="24"/>
          <w:szCs w:val="24"/>
        </w:rPr>
        <w:t xml:space="preserve">Medical and pharmacy students have adequate knowledge regarding SCD, however the practices and attitude is not appropriate. The development of multifaceted patient and public health education and screening for the control of SCD by heterozygote detection, particularly during routine premarital medical examination is needed. </w:t>
      </w:r>
    </w:p>
    <w:p w14:paraId="19C2CF33" w14:textId="70DC8040" w:rsidR="00AE3E37" w:rsidRPr="008756E6" w:rsidRDefault="00087705" w:rsidP="00087705">
      <w:pPr>
        <w:pStyle w:val="Heading3"/>
        <w:spacing w:before="74"/>
      </w:pPr>
      <w:r>
        <w:rPr>
          <w:b w:val="0"/>
        </w:rPr>
        <w:t xml:space="preserve"> </w:t>
      </w:r>
      <w:r w:rsidRPr="008756E6">
        <w:t xml:space="preserve"> </w:t>
      </w:r>
    </w:p>
    <w:p w14:paraId="6193A76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89E604" w14:textId="77777777" w:rsidR="00AE3E37" w:rsidRDefault="00AE3E37">
      <w:pPr>
        <w:pStyle w:val="BodyText"/>
        <w:rPr>
          <w:rFonts w:ascii="Calibri"/>
          <w:sz w:val="20"/>
        </w:rPr>
      </w:pPr>
    </w:p>
    <w:p w14:paraId="5D4A323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247685C" wp14:editId="787B52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E5DBE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757779" w14:textId="67D23CA6" w:rsidR="00AE3E37" w:rsidRDefault="008756E6" w:rsidP="00404E5B">
      <w:pPr>
        <w:spacing w:before="92"/>
        <w:ind w:right="4234"/>
        <w:rPr>
          <w:rFonts w:ascii="Arial"/>
        </w:rPr>
      </w:pP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w:t>
      </w:r>
    </w:p>
    <w:p w14:paraId="791D1D40"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0"/>
          <w:szCs w:val="20"/>
        </w:rPr>
      </w:pPr>
      <w:proofErr w:type="spellStart"/>
      <w:r>
        <w:rPr>
          <w:rFonts w:ascii="Helvetica" w:eastAsiaTheme="minorHAnsi" w:hAnsi="Helvetica" w:cs="Helvetica"/>
          <w:color w:val="000000"/>
          <w:sz w:val="20"/>
          <w:szCs w:val="20"/>
        </w:rPr>
        <w:t>Tamadhir</w:t>
      </w:r>
      <w:proofErr w:type="spellEnd"/>
      <w:r>
        <w:rPr>
          <w:rFonts w:ascii="Helvetica" w:eastAsiaTheme="minorHAnsi" w:hAnsi="Helvetica" w:cs="Helvetica"/>
          <w:color w:val="000000"/>
          <w:sz w:val="20"/>
          <w:szCs w:val="20"/>
        </w:rPr>
        <w:t xml:space="preserve"> AL </w:t>
      </w:r>
      <w:proofErr w:type="spellStart"/>
      <w:r>
        <w:rPr>
          <w:rFonts w:ascii="Helvetica" w:eastAsiaTheme="minorHAnsi" w:hAnsi="Helvetica" w:cs="Helvetica"/>
          <w:color w:val="000000"/>
          <w:sz w:val="20"/>
          <w:szCs w:val="20"/>
        </w:rPr>
        <w:t>Mahrouqi</w:t>
      </w:r>
      <w:proofErr w:type="spellEnd"/>
      <w:r>
        <w:rPr>
          <w:rFonts w:ascii="Helvetica" w:eastAsiaTheme="minorHAnsi" w:hAnsi="Helvetica" w:cs="Helvetica"/>
          <w:color w:val="000000"/>
          <w:sz w:val="20"/>
          <w:szCs w:val="20"/>
        </w:rPr>
        <w:t>, MD graduated with distinction in 2019 from National University of Science and Technology.</w:t>
      </w:r>
    </w:p>
    <w:p w14:paraId="1F838317" w14:textId="77777777" w:rsidR="00087705" w:rsidRDefault="00087705"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0"/>
          <w:szCs w:val="20"/>
        </w:rPr>
      </w:pPr>
      <w:proofErr w:type="spellStart"/>
      <w:r>
        <w:rPr>
          <w:rFonts w:ascii="Helvetica" w:eastAsiaTheme="minorHAnsi" w:hAnsi="Helvetica" w:cs="Helvetica"/>
          <w:color w:val="000000"/>
          <w:sz w:val="20"/>
          <w:szCs w:val="20"/>
        </w:rPr>
        <w:t>Dr</w:t>
      </w:r>
      <w:proofErr w:type="spellEnd"/>
      <w:r>
        <w:rPr>
          <w:rFonts w:ascii="Helvetica" w:eastAsiaTheme="minorHAnsi" w:hAnsi="Helvetica" w:cs="Helvetica"/>
          <w:color w:val="000000"/>
          <w:sz w:val="20"/>
          <w:szCs w:val="20"/>
        </w:rPr>
        <w:t xml:space="preserve"> </w:t>
      </w:r>
      <w:proofErr w:type="spellStart"/>
      <w:r>
        <w:rPr>
          <w:rFonts w:ascii="Helvetica" w:eastAsiaTheme="minorHAnsi" w:hAnsi="Helvetica" w:cs="Helvetica"/>
          <w:color w:val="000000"/>
          <w:sz w:val="20"/>
          <w:szCs w:val="20"/>
        </w:rPr>
        <w:t>Tamadhir</w:t>
      </w:r>
      <w:proofErr w:type="spellEnd"/>
      <w:r>
        <w:rPr>
          <w:rFonts w:ascii="Helvetica" w:eastAsiaTheme="minorHAnsi" w:hAnsi="Helvetica" w:cs="Helvetica"/>
          <w:color w:val="000000"/>
          <w:sz w:val="20"/>
          <w:szCs w:val="20"/>
        </w:rPr>
        <w:t xml:space="preserve"> is a public health advocate committed to advocate for policy changes that support the development of health-promoting environments. She advocates for implementing mandatory premarital carrier screening for blood disorders in Oman. She organized wide variety of events from awareness campaigns to meetings with policy makers in the sultanate. </w:t>
      </w:r>
      <w:proofErr w:type="gramStart"/>
      <w:r>
        <w:rPr>
          <w:rFonts w:ascii="Helvetica" w:eastAsiaTheme="minorHAnsi" w:hAnsi="Helvetica" w:cs="Helvetica"/>
          <w:color w:val="000000"/>
          <w:sz w:val="20"/>
          <w:szCs w:val="20"/>
        </w:rPr>
        <w:t>currently</w:t>
      </w:r>
      <w:proofErr w:type="gramEnd"/>
      <w:r>
        <w:rPr>
          <w:rFonts w:ascii="Helvetica" w:eastAsiaTheme="minorHAnsi" w:hAnsi="Helvetica" w:cs="Helvetica"/>
          <w:color w:val="000000"/>
          <w:sz w:val="20"/>
          <w:szCs w:val="20"/>
        </w:rPr>
        <w:t xml:space="preserve"> working as an intern in Sultan </w:t>
      </w:r>
      <w:proofErr w:type="spellStart"/>
      <w:r>
        <w:rPr>
          <w:rFonts w:ascii="Helvetica" w:eastAsiaTheme="minorHAnsi" w:hAnsi="Helvetica" w:cs="Helvetica"/>
          <w:color w:val="000000"/>
          <w:sz w:val="20"/>
          <w:szCs w:val="20"/>
        </w:rPr>
        <w:t>Qaboos</w:t>
      </w:r>
      <w:proofErr w:type="spellEnd"/>
      <w:r>
        <w:rPr>
          <w:rFonts w:ascii="Helvetica" w:eastAsiaTheme="minorHAnsi" w:hAnsi="Helvetica" w:cs="Helvetica"/>
          <w:color w:val="000000"/>
          <w:sz w:val="20"/>
          <w:szCs w:val="20"/>
        </w:rPr>
        <w:t xml:space="preserve"> university hospital. </w:t>
      </w:r>
    </w:p>
    <w:p w14:paraId="781B6E78" w14:textId="6053FEBA" w:rsidR="00AE3E37" w:rsidRPr="00087705" w:rsidRDefault="00A9710C" w:rsidP="00087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Style w:val="Hyperlink"/>
          <w:rFonts w:ascii="Helvetica" w:eastAsiaTheme="minorHAnsi" w:hAnsi="Helvetica" w:cs="Helvetica"/>
          <w:color w:val="000000"/>
          <w:sz w:val="20"/>
          <w:szCs w:val="20"/>
          <w:u w:val="none"/>
        </w:rPr>
      </w:pPr>
      <w:r>
        <w:rPr>
          <w:rFonts w:ascii="Arial"/>
          <w:sz w:val="14"/>
        </w:rPr>
        <w:t xml:space="preserve">Email: </w:t>
      </w:r>
      <w:hyperlink r:id="rId10" w:history="1">
        <w:r w:rsidR="00087705">
          <w:rPr>
            <w:rStyle w:val="Hyperlink"/>
            <w:rFonts w:ascii="Arial"/>
            <w:sz w:val="14"/>
          </w:rPr>
          <w:t>omcf13095@nu.edu.om</w:t>
        </w:r>
      </w:hyperlink>
    </w:p>
    <w:p w14:paraId="4F69FCE3" w14:textId="6FCB5D96"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087705">
        <w:rPr>
          <w:rStyle w:val="Hyperlink"/>
          <w:rFonts w:ascii="Arial"/>
          <w:color w:val="auto"/>
          <w:sz w:val="14"/>
          <w:u w:val="none"/>
        </w:rPr>
        <w:t>+968 9985 3324</w:t>
      </w:r>
    </w:p>
    <w:p w14:paraId="30175DB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128F772" wp14:editId="2BA9BBF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DC2E9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B7319BD" w14:textId="77777777" w:rsidR="00AE3E37" w:rsidRDefault="00AE3E37">
      <w:pPr>
        <w:pStyle w:val="BodyText"/>
        <w:rPr>
          <w:rFonts w:ascii="Arial"/>
          <w:sz w:val="20"/>
        </w:rPr>
      </w:pPr>
    </w:p>
    <w:p w14:paraId="59AF1C7C" w14:textId="77777777" w:rsidR="00AE3E37" w:rsidRDefault="00AE3E37">
      <w:pPr>
        <w:pStyle w:val="BodyText"/>
        <w:rPr>
          <w:rFonts w:ascii="Arial"/>
          <w:sz w:val="20"/>
        </w:rPr>
      </w:pPr>
    </w:p>
    <w:p w14:paraId="2DE49D0F" w14:textId="77777777" w:rsidR="00AE3E37" w:rsidRDefault="00AE3E37">
      <w:pPr>
        <w:pStyle w:val="BodyText"/>
        <w:spacing w:before="7"/>
        <w:rPr>
          <w:rFonts w:ascii="Arial"/>
          <w:sz w:val="29"/>
        </w:rPr>
      </w:pPr>
    </w:p>
    <w:p w14:paraId="2102BEF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63AFE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4CA62" w14:textId="77777777" w:rsidR="006611FD" w:rsidRDefault="006611FD">
      <w:r>
        <w:separator/>
      </w:r>
    </w:p>
  </w:endnote>
  <w:endnote w:type="continuationSeparator" w:id="0">
    <w:p w14:paraId="3DD6FC9F" w14:textId="77777777" w:rsidR="006611FD" w:rsidRDefault="0066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Impact">
    <w:panose1 w:val="020B080603090205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76E3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C1E867B" wp14:editId="4A1A0D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4B3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C390F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33E4B3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C390F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7BAD23" wp14:editId="77AE03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2AC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A60C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5952AC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A60C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9D606B3" wp14:editId="52CBF8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B89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6E04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041B89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6E04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E8177" w14:textId="77777777" w:rsidR="006611FD" w:rsidRDefault="006611FD">
      <w:r>
        <w:separator/>
      </w:r>
    </w:p>
  </w:footnote>
  <w:footnote w:type="continuationSeparator" w:id="0">
    <w:p w14:paraId="4731DEA9" w14:textId="77777777" w:rsidR="006611FD" w:rsidRDefault="006611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78410" w14:textId="77777777" w:rsidR="00CF5AAF" w:rsidRPr="00CF5AAF" w:rsidRDefault="00CF5AAF" w:rsidP="00CF5AAF">
    <w:pPr>
      <w:pStyle w:val="Heading1"/>
      <w:shd w:val="clear" w:color="auto" w:fill="F5F1F0"/>
      <w:spacing w:before="0" w:after="120"/>
      <w:ind w:left="0"/>
      <w:jc w:val="center"/>
      <w:rPr>
        <w:rFonts w:ascii="Impact" w:eastAsia="Times New Roman" w:hAnsi="Impact" w:cs="Times New Roman"/>
        <w:b w:val="0"/>
        <w:bCs w:val="0"/>
        <w:color w:val="4F81BD" w:themeColor="accent1"/>
        <w:sz w:val="28"/>
        <w:szCs w:val="56"/>
      </w:rPr>
    </w:pPr>
    <w:r w:rsidRPr="00CF5AAF">
      <w:rPr>
        <w:rFonts w:ascii="Impact" w:eastAsia="Times New Roman" w:hAnsi="Impact" w:cs="Times New Roman"/>
        <w:b w:val="0"/>
        <w:bCs w:val="0"/>
        <w:color w:val="4F81BD" w:themeColor="accent1"/>
        <w:sz w:val="28"/>
        <w:szCs w:val="56"/>
      </w:rPr>
      <w:t>29th World Neonatal, Pediatric and Family Medicine Conference</w:t>
    </w:r>
  </w:p>
  <w:p w14:paraId="781F35D0" w14:textId="76E53C8B" w:rsidR="00AC258B" w:rsidRPr="00CF5AAF" w:rsidRDefault="00CF5AAF" w:rsidP="00AC258B">
    <w:pPr>
      <w:pStyle w:val="Heading1"/>
      <w:shd w:val="clear" w:color="auto" w:fill="F5F1F0"/>
      <w:spacing w:before="0" w:after="150"/>
      <w:jc w:val="center"/>
      <w:rPr>
        <w:rFonts w:ascii="Impact" w:hAnsi="Impact"/>
        <w:color w:val="4F81BD" w:themeColor="accent1"/>
        <w:sz w:val="20"/>
      </w:rPr>
    </w:pPr>
    <w:r>
      <w:rPr>
        <w:rFonts w:ascii="Impact" w:eastAsia="Times New Roman" w:hAnsi="Impact" w:cs="Times New Roman"/>
        <w:b w:val="0"/>
        <w:bCs w:val="0"/>
        <w:color w:val="4F81BD" w:themeColor="accent1"/>
        <w:sz w:val="24"/>
        <w:szCs w:val="56"/>
      </w:rPr>
      <w:t>March</w:t>
    </w:r>
    <w:r w:rsidR="00AC258B" w:rsidRPr="00CF5AAF">
      <w:rPr>
        <w:rFonts w:ascii="Impact" w:eastAsia="Times New Roman" w:hAnsi="Impact" w:cs="Times New Roman"/>
        <w:b w:val="0"/>
        <w:bCs w:val="0"/>
        <w:color w:val="4F81BD" w:themeColor="accent1"/>
        <w:sz w:val="24"/>
        <w:szCs w:val="56"/>
      </w:rPr>
      <w:t xml:space="preserve"> </w:t>
    </w:r>
    <w:r w:rsidR="00FA5C38" w:rsidRPr="00CF5AAF">
      <w:rPr>
        <w:rFonts w:ascii="Impact" w:eastAsia="Times New Roman" w:hAnsi="Impact" w:cs="Times New Roman"/>
        <w:b w:val="0"/>
        <w:bCs w:val="0"/>
        <w:color w:val="4F81BD" w:themeColor="accent1"/>
        <w:sz w:val="24"/>
        <w:szCs w:val="56"/>
      </w:rPr>
      <w:t>19</w:t>
    </w:r>
    <w:r>
      <w:rPr>
        <w:rFonts w:ascii="Impact" w:eastAsia="Times New Roman" w:hAnsi="Impact" w:cs="Times New Roman"/>
        <w:b w:val="0"/>
        <w:bCs w:val="0"/>
        <w:color w:val="4F81BD" w:themeColor="accent1"/>
        <w:sz w:val="24"/>
        <w:szCs w:val="56"/>
      </w:rPr>
      <w:t xml:space="preserve">-20, </w:t>
    </w:r>
    <w:r w:rsidR="00AC258B" w:rsidRPr="00CF5AAF">
      <w:rPr>
        <w:rFonts w:ascii="Impact" w:eastAsia="Times New Roman" w:hAnsi="Impact" w:cs="Times New Roman"/>
        <w:b w:val="0"/>
        <w:bCs w:val="0"/>
        <w:color w:val="4F81BD" w:themeColor="accent1"/>
        <w:sz w:val="24"/>
        <w:szCs w:val="56"/>
      </w:rPr>
      <w:t xml:space="preserve">2019 </w:t>
    </w:r>
    <w:r>
      <w:rPr>
        <w:rFonts w:ascii="Impact" w:eastAsia="Times New Roman" w:hAnsi="Impact" w:cs="Times New Roman"/>
        <w:b w:val="0"/>
        <w:bCs w:val="0"/>
        <w:color w:val="4F81BD" w:themeColor="accent1"/>
        <w:sz w:val="24"/>
        <w:szCs w:val="56"/>
      </w:rPr>
      <w:t>Dubai</w:t>
    </w:r>
    <w:r w:rsidR="00AC258B" w:rsidRPr="00CF5AAF">
      <w:rPr>
        <w:rFonts w:ascii="Impact" w:eastAsia="Times New Roman" w:hAnsi="Impact" w:cs="Times New Roman"/>
        <w:b w:val="0"/>
        <w:bCs w:val="0"/>
        <w:color w:val="4F81BD" w:themeColor="accent1"/>
        <w:sz w:val="24"/>
        <w:szCs w:val="56"/>
      </w:rPr>
      <w:t>, UAE</w:t>
    </w:r>
  </w:p>
  <w:p w14:paraId="46389A1C" w14:textId="7FEF7260" w:rsidR="00AE3E37" w:rsidRDefault="005F4613" w:rsidP="005F4613">
    <w:pPr>
      <w:pStyle w:val="BodyText"/>
      <w:spacing w:line="14" w:lineRule="auto"/>
      <w:jc w:val="center"/>
      <w:rPr>
        <w:sz w:val="20"/>
      </w:rPr>
    </w:pPr>
    <w:r>
      <w:rPr>
        <w:noProof/>
      </w:rPr>
      <w:t xml:space="preserve"> </w:t>
    </w:r>
    <w:r w:rsidR="00292ED9">
      <w:rPr>
        <w:noProof/>
      </w:rPr>
      <mc:AlternateContent>
        <mc:Choice Requires="wps">
          <w:drawing>
            <wp:anchor distT="0" distB="0" distL="114300" distR="114300" simplePos="0" relativeHeight="503311904" behindDoc="1" locked="0" layoutInCell="1" allowOverlap="1" wp14:anchorId="006B6822" wp14:editId="4AB909D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6149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20BF7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left:0;text-align:left;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7616149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20BF7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67835"/>
    <w:rsid w:val="00087705"/>
    <w:rsid w:val="000E2911"/>
    <w:rsid w:val="001263DF"/>
    <w:rsid w:val="002220FB"/>
    <w:rsid w:val="00292ED9"/>
    <w:rsid w:val="003B246B"/>
    <w:rsid w:val="00404E5B"/>
    <w:rsid w:val="0041052A"/>
    <w:rsid w:val="00414F7B"/>
    <w:rsid w:val="004355DC"/>
    <w:rsid w:val="004749B4"/>
    <w:rsid w:val="00494130"/>
    <w:rsid w:val="004F3523"/>
    <w:rsid w:val="00585A47"/>
    <w:rsid w:val="005973B9"/>
    <w:rsid w:val="005B3A56"/>
    <w:rsid w:val="005F4613"/>
    <w:rsid w:val="006060CE"/>
    <w:rsid w:val="0063497F"/>
    <w:rsid w:val="006611FD"/>
    <w:rsid w:val="006910C5"/>
    <w:rsid w:val="006D55F2"/>
    <w:rsid w:val="0073290E"/>
    <w:rsid w:val="00793448"/>
    <w:rsid w:val="00825430"/>
    <w:rsid w:val="00827B1F"/>
    <w:rsid w:val="0086476D"/>
    <w:rsid w:val="00873DF0"/>
    <w:rsid w:val="008756E6"/>
    <w:rsid w:val="009B2D44"/>
    <w:rsid w:val="00A07E82"/>
    <w:rsid w:val="00A4508E"/>
    <w:rsid w:val="00A50BC1"/>
    <w:rsid w:val="00A9710C"/>
    <w:rsid w:val="00AC258B"/>
    <w:rsid w:val="00AE3E37"/>
    <w:rsid w:val="00B07A97"/>
    <w:rsid w:val="00B21A57"/>
    <w:rsid w:val="00B62DFE"/>
    <w:rsid w:val="00C33602"/>
    <w:rsid w:val="00CC00DB"/>
    <w:rsid w:val="00CD6F55"/>
    <w:rsid w:val="00CF5AAF"/>
    <w:rsid w:val="00DE3104"/>
    <w:rsid w:val="00E029EB"/>
    <w:rsid w:val="00E27538"/>
    <w:rsid w:val="00F21799"/>
    <w:rsid w:val="00F72EEA"/>
    <w:rsid w:val="00F82DA8"/>
    <w:rsid w:val="00F84CAE"/>
    <w:rsid w:val="00FA5C38"/>
    <w:rsid w:val="00FF05B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36A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h3">
    <w:name w:val="h3"/>
    <w:basedOn w:val="Normal"/>
    <w:rsid w:val="00AC258B"/>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h3">
    <w:name w:val="h3"/>
    <w:basedOn w:val="Normal"/>
    <w:rsid w:val="00AC258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69062">
      <w:bodyDiv w:val="1"/>
      <w:marLeft w:val="0"/>
      <w:marRight w:val="0"/>
      <w:marTop w:val="0"/>
      <w:marBottom w:val="0"/>
      <w:divBdr>
        <w:top w:val="none" w:sz="0" w:space="0" w:color="auto"/>
        <w:left w:val="none" w:sz="0" w:space="0" w:color="auto"/>
        <w:bottom w:val="none" w:sz="0" w:space="0" w:color="auto"/>
        <w:right w:val="none" w:sz="0" w:space="0" w:color="auto"/>
      </w:divBdr>
    </w:div>
    <w:div w:id="3909266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433</Words>
  <Characters>2472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Tamadar Said AL-Mahrouqi</cp:lastModifiedBy>
  <cp:revision>3</cp:revision>
  <dcterms:created xsi:type="dcterms:W3CDTF">2019-12-10T16:46:00Z</dcterms:created>
  <dcterms:modified xsi:type="dcterms:W3CDTF">2019-12-10T16:49:00Z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