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Abstract</w:t>
      </w:r>
    </w:p>
    <w:p>
      <w:pPr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P</w:t>
      </w:r>
      <w:r>
        <w:rPr>
          <w:sz w:val="32"/>
          <w:szCs w:val="32"/>
          <w:lang w:val="sv-SE"/>
        </w:rPr>
        <w:t>harmakological correction of Presbyopia,where are we today?</w:t>
      </w:r>
      <w:bookmarkStart w:id="0" w:name="_GoBack"/>
      <w:bookmarkEnd w:id="0"/>
    </w:p>
    <w:p>
      <w:pPr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Claes Feinbaum MSc PhD.</w:t>
      </w:r>
    </w:p>
    <w:p>
      <w:pPr>
        <w:jc w:val="center"/>
        <w:rPr>
          <w:sz w:val="32"/>
          <w:szCs w:val="32"/>
          <w:lang w:val="en-GB"/>
        </w:rPr>
      </w:pPr>
    </w:p>
    <w:p>
      <w:pPr>
        <w:spacing w:after="120" w:line="240" w:lineRule="auto"/>
        <w:rPr>
          <w:rFonts w:hAnsi="Times New Roman" w:cs="Times New Roman" w:asciiTheme="minorAscii"/>
          <w:sz w:val="28"/>
          <w:szCs w:val="28"/>
        </w:rPr>
      </w:pPr>
      <w:r>
        <w:rPr>
          <w:rFonts w:hAnsi="Times New Roman" w:cs="Times New Roman" w:asciiTheme="minorAscii"/>
          <w:sz w:val="28"/>
          <w:szCs w:val="28"/>
          <w:lang w:val="en-GB"/>
        </w:rPr>
        <w:t xml:space="preserve">Pharmacological agents </w:t>
      </w:r>
      <w:r>
        <w:rPr>
          <w:rFonts w:hAnsi="Times New Roman" w:cs="Times New Roman" w:asciiTheme="minorAscii"/>
          <w:sz w:val="28"/>
          <w:szCs w:val="28"/>
        </w:rPr>
        <w:t>designed to correct presbyopia.</w:t>
      </w:r>
    </w:p>
    <w:p>
      <w:pPr>
        <w:spacing w:after="120" w:line="240" w:lineRule="auto"/>
        <w:rPr>
          <w:rFonts w:hAnsi="Times New Roman" w:cs="Times New Roman" w:asciiTheme="minorAscii"/>
          <w:sz w:val="28"/>
          <w:szCs w:val="28"/>
        </w:rPr>
      </w:pPr>
      <w:r>
        <w:rPr>
          <w:rFonts w:hAnsi="Times New Roman" w:cs="Times New Roman" w:asciiTheme="minorAscii"/>
          <w:sz w:val="28"/>
          <w:szCs w:val="28"/>
          <w:lang w:val="en-GB"/>
        </w:rPr>
        <w:t>CSF1</w:t>
      </w:r>
      <w:r>
        <w:rPr>
          <w:rFonts w:hAnsi="Times New Roman" w:cs="Times New Roman" w:asciiTheme="minorAscii"/>
          <w:sz w:val="28"/>
          <w:szCs w:val="28"/>
        </w:rPr>
        <w:t xml:space="preserve"> reduce the pupil size, increasing the user’s depth of field, decreasing the magnitude of higher-order aberrations, and improving near uncorrected visual acuity</w:t>
      </w:r>
      <w:r>
        <w:rPr>
          <w:rFonts w:hAnsi="Times New Roman" w:cs="Times New Roman" w:asciiTheme="minorAscii"/>
          <w:sz w:val="28"/>
          <w:szCs w:val="28"/>
          <w:lang w:val="en-GB"/>
        </w:rPr>
        <w:t>.</w:t>
      </w:r>
    </w:p>
    <w:p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Ansi="Times New Roman" w:cs="Times New Roman" w:asciiTheme="minorAscii"/>
          <w:sz w:val="28"/>
          <w:szCs w:val="28"/>
        </w:rPr>
        <w:t>Patients apply one or two drops each day bilaterally. In addition to providing a reversible, non</w:t>
      </w:r>
      <w:r>
        <w:rPr>
          <w:rFonts w:hAnsi="Times New Roman" w:cs="Times New Roman" w:asciiTheme="minorAscii"/>
          <w:sz w:val="28"/>
          <w:szCs w:val="28"/>
          <w:lang w:val="en-GB"/>
        </w:rPr>
        <w:t>-</w:t>
      </w:r>
      <w:r>
        <w:rPr>
          <w:rFonts w:hAnsi="Times New Roman" w:cs="Times New Roman" w:asciiTheme="minorAscii"/>
          <w:sz w:val="28"/>
          <w:szCs w:val="28"/>
        </w:rPr>
        <w:t>surgical presbyopia correction,</w:t>
      </w:r>
      <w:r>
        <w:rPr>
          <w:rFonts w:hAnsi="Times New Roman" w:cs="Times New Roman" w:asciiTheme="minorAscii"/>
          <w:sz w:val="28"/>
          <w:szCs w:val="28"/>
          <w:lang w:val="en-GB"/>
        </w:rPr>
        <w:t xml:space="preserve"> CSF1</w:t>
      </w:r>
      <w:r>
        <w:rPr>
          <w:rFonts w:hAnsi="Times New Roman" w:cs="Times New Roman" w:asciiTheme="minorAscii"/>
          <w:sz w:val="28"/>
          <w:szCs w:val="28"/>
        </w:rPr>
        <w:t xml:space="preserve"> slightly reduce intra</w:t>
      </w:r>
      <w:r>
        <w:rPr>
          <w:rFonts w:hAnsi="Times New Roman" w:cs="Times New Roman" w:asciiTheme="minorAscii"/>
          <w:sz w:val="28"/>
          <w:szCs w:val="28"/>
          <w:lang w:val="en-GB"/>
        </w:rPr>
        <w:t>-</w:t>
      </w:r>
      <w:r>
        <w:rPr>
          <w:rFonts w:hAnsi="Times New Roman" w:cs="Times New Roman" w:asciiTheme="minorAscii"/>
          <w:sz w:val="28"/>
          <w:szCs w:val="28"/>
        </w:rPr>
        <w:t>ocular pressure and improve distance vision in patients who had previous corneal refractive surgery and have higher-order aberrations</w:t>
      </w:r>
      <w:r>
        <w:rPr>
          <w:rFonts w:hAnsi="Times New Roman" w:cs="Times New Roman" w:asciiTheme="minorAscii"/>
          <w:sz w:val="28"/>
          <w:szCs w:val="28"/>
          <w:lang w:val="en-GB"/>
        </w:rPr>
        <w:t>.</w:t>
      </w:r>
      <w:r>
        <w:rPr>
          <w:rFonts w:hAnsi="Times New Roman" w:cs="Times New Roman" w:asciiTheme="minorAscii"/>
          <w:sz w:val="28"/>
          <w:szCs w:val="28"/>
        </w:rPr>
        <w:t xml:space="preserve"> The topical agent also has been found to improve near and intermediate vision in patients who have had cataract surgery</w:t>
      </w:r>
      <w:r>
        <w:rPr>
          <w:rFonts w:hAnsi="Times New Roman" w:cs="Times New Roman" w:asciiTheme="minorAscii"/>
          <w:sz w:val="28"/>
          <w:szCs w:val="28"/>
          <w:lang w:val="en-GB"/>
        </w:rPr>
        <w:t>.</w:t>
      </w:r>
    </w:p>
    <w:p>
      <w:pPr>
        <w:spacing w:after="120" w:line="240" w:lineRule="auto"/>
        <w:rPr>
          <w:rFonts w:hAnsi="Times New Roman" w:cs="Times New Roman" w:asciiTheme="minorAscii"/>
          <w:sz w:val="28"/>
          <w:szCs w:val="28"/>
        </w:rPr>
      </w:pPr>
      <w:r>
        <w:rPr>
          <w:rFonts w:hAnsi="Times New Roman" w:cs="Times New Roman" w:asciiTheme="minorAscii"/>
          <w:sz w:val="28"/>
          <w:szCs w:val="28"/>
        </w:rPr>
        <w:t>Ideal candidates would have less than 1.0 D of hyperopia, myopia, or astigmatism. They also would be free of corneal or vitreous opacities (and possibly lens opacities) and retinal or chronic general pathologies</w:t>
      </w:r>
      <w:r>
        <w:rPr>
          <w:rFonts w:hAnsi="Times New Roman" w:cs="Times New Roman" w:asciiTheme="minorAscii"/>
          <w:sz w:val="28"/>
          <w:szCs w:val="28"/>
          <w:lang w:val="en-GB"/>
        </w:rPr>
        <w:t>.</w:t>
      </w:r>
    </w:p>
    <w:p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Ansi="Times New Roman" w:cs="Times New Roman" w:asciiTheme="minorAscii"/>
          <w:sz w:val="28"/>
          <w:szCs w:val="28"/>
        </w:rPr>
        <w:t>The drop is safe due to the low concentration of the pharmaceutical compounds used.</w:t>
      </w:r>
      <w:r>
        <w:rPr>
          <w:rFonts w:hAnsi="Times New Roman" w:cs="Times New Roman" w:asciiTheme="minorAscii"/>
          <w:sz w:val="28"/>
          <w:szCs w:val="28"/>
          <w:lang w:val="en-GB"/>
        </w:rPr>
        <w:t xml:space="preserve"> </w:t>
      </w:r>
      <w:r>
        <w:rPr>
          <w:rFonts w:hAnsi="Times New Roman" w:cs="Times New Roman" w:asciiTheme="minorAscii"/>
          <w:sz w:val="28"/>
          <w:szCs w:val="28"/>
        </w:rPr>
        <w:t>Potential short-term side effects include a burning sensation or temporary nausea after the first instillation. In addition, an average myopic shift of 0.4 D was observed in some patients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spacing w:after="120" w:line="240" w:lineRule="auto"/>
        <w:rPr>
          <w:rFonts w:hAnsi="Times New Roman" w:cs="Times New Roman" w:asciiTheme="minorAscii"/>
          <w:sz w:val="28"/>
          <w:szCs w:val="28"/>
        </w:rPr>
      </w:pPr>
      <w:r>
        <w:rPr>
          <w:rFonts w:hAnsi="Times New Roman" w:cs="Times New Roman" w:asciiTheme="minorAscii"/>
          <w:sz w:val="28"/>
          <w:szCs w:val="28"/>
        </w:rPr>
        <w:t>The separate ingredients are already approved by all bodies</w:t>
      </w:r>
      <w:r>
        <w:rPr>
          <w:rFonts w:hAnsi="Times New Roman" w:cs="Times New Roman" w:asciiTheme="minorAscii"/>
          <w:sz w:val="28"/>
          <w:szCs w:val="28"/>
          <w:lang w:val="en-GB"/>
        </w:rPr>
        <w:t>.</w:t>
      </w:r>
    </w:p>
    <w:p>
      <w:pPr>
        <w:spacing w:after="120" w:line="240" w:lineRule="auto"/>
        <w:rPr>
          <w:rFonts w:hAnsi="Times New Roman" w:cs="Times New Roman" w:asciiTheme="minorAscii"/>
          <w:sz w:val="28"/>
          <w:szCs w:val="28"/>
          <w:lang w:val="en-GB"/>
        </w:rPr>
      </w:pPr>
      <w:r>
        <w:rPr>
          <w:rFonts w:hAnsi="Times New Roman" w:cs="Times New Roman" w:asciiTheme="minorAscii"/>
          <w:sz w:val="28"/>
          <w:szCs w:val="28"/>
          <w:lang w:val="en-GB"/>
        </w:rPr>
        <w:t>Results of a double-masked, randomized study will be presented.</w:t>
      </w:r>
    </w:p>
    <w:p>
      <w:pPr>
        <w:jc w:val="left"/>
        <w:rPr>
          <w:sz w:val="32"/>
          <w:szCs w:val="32"/>
          <w:lang w:val="en-GB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349D7"/>
    <w:rsid w:val="0A40774A"/>
    <w:rsid w:val="2AA349D7"/>
    <w:rsid w:val="46872984"/>
    <w:rsid w:val="73B927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2017-10-23T12:01:00Z</dcterms:created>
  <dc:creator>claes</dc:creator>
  <cp:lastModifiedBy>claes feinbaum</cp:lastModifiedBy>
  <dcterms:modified xsi:type="dcterms:W3CDTF">2018-05-09T14:55:29Z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