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F98" w:rsidRPr="00C32F98" w:rsidRDefault="00C32F98" w:rsidP="00C32F98">
      <w:pPr>
        <w:jc w:val="center"/>
        <w:rPr>
          <w:b/>
          <w:bCs/>
          <w:color w:val="0070C0"/>
          <w:sz w:val="36"/>
          <w:szCs w:val="36"/>
        </w:rPr>
      </w:pPr>
      <w:r w:rsidRPr="00C32F98">
        <w:rPr>
          <w:b/>
          <w:bCs/>
          <w:color w:val="0070C0"/>
          <w:sz w:val="32"/>
          <w:szCs w:val="32"/>
        </w:rPr>
        <w:t>EVALUATION OF CORNEAL TOMOGRAPHIC CHANGES AFTER CORNEAL COLLAGEN CROSS LINKING IN PEDIATRIC KERATOCONUS</w:t>
      </w:r>
    </w:p>
    <w:p w:rsidR="00E7638C" w:rsidRPr="00C32F98" w:rsidRDefault="00E7638C" w:rsidP="00E7638C">
      <w:pPr>
        <w:jc w:val="center"/>
        <w:rPr>
          <w:b/>
          <w:bCs/>
          <w:color w:val="000080"/>
          <w:sz w:val="32"/>
          <w:szCs w:val="32"/>
        </w:rPr>
      </w:pPr>
    </w:p>
    <w:p w:rsidR="00E7638C" w:rsidRDefault="00E7638C" w:rsidP="00E7638C">
      <w:pPr>
        <w:jc w:val="center"/>
        <w:rPr>
          <w:b/>
          <w:bCs/>
          <w:color w:val="000080"/>
          <w:sz w:val="32"/>
          <w:szCs w:val="32"/>
          <w:rtl/>
        </w:rPr>
      </w:pPr>
    </w:p>
    <w:p w:rsidR="00E7638C" w:rsidRPr="00C32F98" w:rsidRDefault="00C32F98" w:rsidP="00C32F98">
      <w:pPr>
        <w:pStyle w:val="Default"/>
        <w:bidi/>
        <w:jc w:val="right"/>
        <w:rPr>
          <w:sz w:val="22"/>
          <w:szCs w:val="22"/>
          <w:lang w:val="en"/>
        </w:rPr>
      </w:pPr>
      <w:r w:rsidRPr="00C32F98">
        <w:rPr>
          <w:sz w:val="22"/>
          <w:szCs w:val="22"/>
        </w:rPr>
        <w:t>Ahmed  Mohamed Osman</w:t>
      </w:r>
      <w:r w:rsidR="00E7638C" w:rsidRPr="00C32F98">
        <w:rPr>
          <w:sz w:val="22"/>
          <w:szCs w:val="22"/>
        </w:rPr>
        <w:t xml:space="preserve"> </w:t>
      </w:r>
      <w:r w:rsidR="00E7638C" w:rsidRPr="00C32F98">
        <w:rPr>
          <w:sz w:val="22"/>
          <w:szCs w:val="22"/>
          <w:vertAlign w:val="superscript"/>
          <w:lang w:val="en"/>
        </w:rPr>
        <w:t>(1)</w:t>
      </w:r>
      <w:r w:rsidR="00E7638C" w:rsidRPr="00C32F98">
        <w:rPr>
          <w:color w:val="000080"/>
          <w:sz w:val="22"/>
          <w:szCs w:val="22"/>
        </w:rPr>
        <w:t>,</w:t>
      </w:r>
      <w:r w:rsidR="00E7638C" w:rsidRPr="00C32F98">
        <w:rPr>
          <w:sz w:val="22"/>
          <w:szCs w:val="22"/>
        </w:rPr>
        <w:t xml:space="preserve">  </w:t>
      </w:r>
      <w:r w:rsidRPr="00C32F98">
        <w:rPr>
          <w:sz w:val="22"/>
          <w:szCs w:val="22"/>
        </w:rPr>
        <w:t xml:space="preserve">Mohamed </w:t>
      </w:r>
      <w:proofErr w:type="spellStart"/>
      <w:r w:rsidRPr="00C32F98">
        <w:rPr>
          <w:sz w:val="22"/>
          <w:szCs w:val="22"/>
        </w:rPr>
        <w:t>Shafik</w:t>
      </w:r>
      <w:proofErr w:type="spellEnd"/>
      <w:r w:rsidRPr="00C32F98">
        <w:rPr>
          <w:sz w:val="22"/>
          <w:szCs w:val="22"/>
        </w:rPr>
        <w:t xml:space="preserve"> </w:t>
      </w:r>
      <w:proofErr w:type="spellStart"/>
      <w:r w:rsidRPr="00C32F98">
        <w:rPr>
          <w:sz w:val="22"/>
          <w:szCs w:val="22"/>
        </w:rPr>
        <w:t>Shaheen</w:t>
      </w:r>
      <w:proofErr w:type="spellEnd"/>
      <w:r w:rsidRPr="00C32F98">
        <w:rPr>
          <w:sz w:val="22"/>
          <w:szCs w:val="22"/>
          <w:vertAlign w:val="superscript"/>
          <w:lang w:val="en"/>
        </w:rPr>
        <w:t xml:space="preserve"> </w:t>
      </w:r>
      <w:r w:rsidR="00E7638C" w:rsidRPr="00C32F98">
        <w:rPr>
          <w:sz w:val="22"/>
          <w:szCs w:val="22"/>
          <w:vertAlign w:val="superscript"/>
          <w:lang w:val="en"/>
        </w:rPr>
        <w:t>(2)</w:t>
      </w:r>
      <w:r w:rsidR="00E7638C" w:rsidRPr="00C32F98">
        <w:rPr>
          <w:sz w:val="22"/>
          <w:szCs w:val="22"/>
        </w:rPr>
        <w:t xml:space="preserve">, </w:t>
      </w:r>
      <w:proofErr w:type="spellStart"/>
      <w:r w:rsidRPr="00C32F98">
        <w:rPr>
          <w:sz w:val="22"/>
          <w:szCs w:val="22"/>
        </w:rPr>
        <w:t>Tarek</w:t>
      </w:r>
      <w:proofErr w:type="spellEnd"/>
      <w:r w:rsidRPr="00C32F98">
        <w:rPr>
          <w:sz w:val="22"/>
          <w:szCs w:val="22"/>
        </w:rPr>
        <w:t xml:space="preserve"> Abdel </w:t>
      </w:r>
      <w:proofErr w:type="spellStart"/>
      <w:r w:rsidRPr="00C32F98">
        <w:rPr>
          <w:sz w:val="22"/>
          <w:szCs w:val="22"/>
        </w:rPr>
        <w:t>Razek</w:t>
      </w:r>
      <w:proofErr w:type="spellEnd"/>
      <w:r w:rsidR="00C1111B">
        <w:rPr>
          <w:sz w:val="22"/>
          <w:szCs w:val="22"/>
        </w:rPr>
        <w:t xml:space="preserve"> Hafez</w:t>
      </w:r>
      <w:bookmarkStart w:id="0" w:name="_GoBack"/>
      <w:bookmarkEnd w:id="0"/>
      <w:r w:rsidRPr="00C32F98">
        <w:rPr>
          <w:sz w:val="22"/>
          <w:szCs w:val="22"/>
          <w:vertAlign w:val="superscript"/>
          <w:lang w:val="en"/>
        </w:rPr>
        <w:t xml:space="preserve"> </w:t>
      </w:r>
      <w:r w:rsidR="00E7638C" w:rsidRPr="00C32F98">
        <w:rPr>
          <w:sz w:val="22"/>
          <w:szCs w:val="22"/>
          <w:vertAlign w:val="superscript"/>
          <w:lang w:val="en"/>
        </w:rPr>
        <w:t>(3)</w:t>
      </w:r>
      <w:r w:rsidRPr="00C32F98">
        <w:rPr>
          <w:sz w:val="22"/>
          <w:szCs w:val="22"/>
          <w:vertAlign w:val="superscript"/>
          <w:lang w:val="en"/>
        </w:rPr>
        <w:t xml:space="preserve"> </w:t>
      </w:r>
      <w:r w:rsidRPr="00C32F98">
        <w:rPr>
          <w:sz w:val="22"/>
          <w:szCs w:val="22"/>
          <w:lang w:val="en"/>
        </w:rPr>
        <w:t xml:space="preserve">, Nancy </w:t>
      </w:r>
      <w:proofErr w:type="spellStart"/>
      <w:r w:rsidRPr="00C32F98">
        <w:rPr>
          <w:sz w:val="22"/>
          <w:szCs w:val="22"/>
          <w:lang w:val="en"/>
        </w:rPr>
        <w:t>Hazem</w:t>
      </w:r>
      <w:proofErr w:type="spellEnd"/>
      <w:r w:rsidRPr="00C32F98">
        <w:rPr>
          <w:sz w:val="22"/>
          <w:szCs w:val="22"/>
          <w:lang w:val="en"/>
        </w:rPr>
        <w:t xml:space="preserve"> Mohammed </w:t>
      </w:r>
      <w:proofErr w:type="spellStart"/>
      <w:r w:rsidRPr="00C32F98">
        <w:rPr>
          <w:sz w:val="22"/>
          <w:szCs w:val="22"/>
          <w:lang w:val="en"/>
        </w:rPr>
        <w:t>Zakaria</w:t>
      </w:r>
      <w:proofErr w:type="spellEnd"/>
      <w:r w:rsidRPr="00C32F98">
        <w:rPr>
          <w:sz w:val="22"/>
          <w:szCs w:val="22"/>
          <w:vertAlign w:val="superscript"/>
          <w:lang w:val="en"/>
        </w:rPr>
        <w:t>(4)</w:t>
      </w:r>
    </w:p>
    <w:p w:rsidR="00E7638C" w:rsidRPr="00C32F98" w:rsidRDefault="00E7638C" w:rsidP="00C32F98">
      <w:pPr>
        <w:tabs>
          <w:tab w:val="left" w:pos="5670"/>
        </w:tabs>
        <w:bidi w:val="0"/>
        <w:jc w:val="right"/>
        <w:rPr>
          <w:sz w:val="18"/>
          <w:szCs w:val="18"/>
          <w:lang w:bidi="ar-EG"/>
        </w:rPr>
      </w:pPr>
      <w:r w:rsidRPr="00C32F98">
        <w:rPr>
          <w:sz w:val="18"/>
          <w:szCs w:val="18"/>
          <w:vertAlign w:val="superscript"/>
          <w:lang w:val="en"/>
        </w:rPr>
        <w:t>(1)</w:t>
      </w:r>
      <w:r w:rsidRPr="00C32F98">
        <w:rPr>
          <w:sz w:val="18"/>
          <w:szCs w:val="18"/>
        </w:rPr>
        <w:t xml:space="preserve">Professor of </w:t>
      </w:r>
      <w:r w:rsidR="00C32F98" w:rsidRPr="00C32F98">
        <w:rPr>
          <w:sz w:val="18"/>
          <w:szCs w:val="18"/>
        </w:rPr>
        <w:t>Ophthalmology</w:t>
      </w:r>
      <w:r w:rsidRPr="00C32F98">
        <w:rPr>
          <w:sz w:val="18"/>
          <w:szCs w:val="18"/>
          <w:lang w:bidi="ar-EG"/>
        </w:rPr>
        <w:t xml:space="preserve">, </w:t>
      </w:r>
      <w:r w:rsidRPr="00C32F98">
        <w:rPr>
          <w:sz w:val="18"/>
          <w:szCs w:val="18"/>
        </w:rPr>
        <w:t>Faculty of Medicine</w:t>
      </w:r>
      <w:r w:rsidRPr="00C32F98">
        <w:rPr>
          <w:sz w:val="18"/>
          <w:szCs w:val="18"/>
          <w:lang w:bidi="ar-EG"/>
        </w:rPr>
        <w:t xml:space="preserve">, </w:t>
      </w:r>
      <w:r w:rsidRPr="00C32F98">
        <w:rPr>
          <w:sz w:val="18"/>
          <w:szCs w:val="18"/>
        </w:rPr>
        <w:t>University of Alexandria</w:t>
      </w:r>
      <w:r w:rsidRPr="00C32F98">
        <w:rPr>
          <w:sz w:val="18"/>
          <w:szCs w:val="18"/>
          <w:lang w:bidi="ar-EG"/>
        </w:rPr>
        <w:t>.</w:t>
      </w:r>
    </w:p>
    <w:p w:rsidR="00C32F98" w:rsidRPr="00C32F98" w:rsidRDefault="00E7638C" w:rsidP="00C32F98">
      <w:pPr>
        <w:tabs>
          <w:tab w:val="left" w:pos="5670"/>
        </w:tabs>
        <w:bidi w:val="0"/>
        <w:jc w:val="right"/>
        <w:rPr>
          <w:sz w:val="18"/>
          <w:szCs w:val="18"/>
          <w:lang w:bidi="ar-EG"/>
        </w:rPr>
      </w:pPr>
      <w:r w:rsidRPr="00C32F98">
        <w:rPr>
          <w:sz w:val="18"/>
          <w:szCs w:val="18"/>
          <w:vertAlign w:val="superscript"/>
          <w:lang w:val="en"/>
        </w:rPr>
        <w:t>(</w:t>
      </w:r>
      <w:r w:rsidR="00C32F98" w:rsidRPr="00C32F98">
        <w:rPr>
          <w:sz w:val="18"/>
          <w:szCs w:val="18"/>
          <w:vertAlign w:val="superscript"/>
          <w:lang w:val="en"/>
        </w:rPr>
        <w:t>2)</w:t>
      </w:r>
      <w:r w:rsidR="00C32F98" w:rsidRPr="00C32F98">
        <w:rPr>
          <w:sz w:val="18"/>
          <w:szCs w:val="18"/>
        </w:rPr>
        <w:t>Professor of Ophthalmology</w:t>
      </w:r>
      <w:r w:rsidR="00C32F98" w:rsidRPr="00C32F98">
        <w:rPr>
          <w:sz w:val="18"/>
          <w:szCs w:val="18"/>
          <w:lang w:bidi="ar-EG"/>
        </w:rPr>
        <w:t xml:space="preserve">, </w:t>
      </w:r>
      <w:r w:rsidR="00C32F98" w:rsidRPr="00C32F98">
        <w:rPr>
          <w:sz w:val="18"/>
          <w:szCs w:val="18"/>
        </w:rPr>
        <w:t>Faculty of Medicine</w:t>
      </w:r>
      <w:r w:rsidR="00C32F98" w:rsidRPr="00C32F98">
        <w:rPr>
          <w:sz w:val="18"/>
          <w:szCs w:val="18"/>
          <w:lang w:bidi="ar-EG"/>
        </w:rPr>
        <w:t xml:space="preserve">, </w:t>
      </w:r>
      <w:r w:rsidR="00C32F98" w:rsidRPr="00C32F98">
        <w:rPr>
          <w:sz w:val="18"/>
          <w:szCs w:val="18"/>
        </w:rPr>
        <w:t>University of Alexandria</w:t>
      </w:r>
      <w:r w:rsidR="00C32F98" w:rsidRPr="00C32F98">
        <w:rPr>
          <w:sz w:val="18"/>
          <w:szCs w:val="18"/>
          <w:lang w:bidi="ar-EG"/>
        </w:rPr>
        <w:t>.</w:t>
      </w:r>
    </w:p>
    <w:p w:rsidR="00C32F98" w:rsidRPr="00C32F98" w:rsidRDefault="00C32F98" w:rsidP="00C32F98">
      <w:pPr>
        <w:tabs>
          <w:tab w:val="left" w:pos="5670"/>
        </w:tabs>
        <w:bidi w:val="0"/>
        <w:jc w:val="right"/>
        <w:rPr>
          <w:sz w:val="18"/>
          <w:szCs w:val="18"/>
          <w:lang w:bidi="ar-EG"/>
        </w:rPr>
      </w:pPr>
    </w:p>
    <w:p w:rsidR="00C32F98" w:rsidRPr="00C32F98" w:rsidRDefault="00C32F98" w:rsidP="00C32F98">
      <w:pPr>
        <w:tabs>
          <w:tab w:val="left" w:pos="5670"/>
        </w:tabs>
        <w:bidi w:val="0"/>
        <w:jc w:val="right"/>
        <w:rPr>
          <w:sz w:val="18"/>
          <w:szCs w:val="18"/>
          <w:lang w:bidi="ar-EG"/>
        </w:rPr>
      </w:pPr>
      <w:r w:rsidRPr="00C32F98">
        <w:rPr>
          <w:sz w:val="18"/>
          <w:szCs w:val="18"/>
          <w:vertAlign w:val="superscript"/>
          <w:lang w:val="en"/>
        </w:rPr>
        <w:t xml:space="preserve">(3) </w:t>
      </w:r>
      <w:r w:rsidRPr="00C32F98">
        <w:rPr>
          <w:sz w:val="18"/>
          <w:szCs w:val="18"/>
          <w:lang w:val="en"/>
        </w:rPr>
        <w:t>Assistant P</w:t>
      </w:r>
      <w:proofErr w:type="spellStart"/>
      <w:r w:rsidRPr="00C32F98">
        <w:rPr>
          <w:sz w:val="18"/>
          <w:szCs w:val="18"/>
        </w:rPr>
        <w:t>rofessor</w:t>
      </w:r>
      <w:proofErr w:type="spellEnd"/>
      <w:r w:rsidRPr="00C32F98">
        <w:rPr>
          <w:sz w:val="18"/>
          <w:szCs w:val="18"/>
        </w:rPr>
        <w:t xml:space="preserve"> of Ophthalmology</w:t>
      </w:r>
      <w:r w:rsidRPr="00C32F98">
        <w:rPr>
          <w:sz w:val="18"/>
          <w:szCs w:val="18"/>
          <w:lang w:bidi="ar-EG"/>
        </w:rPr>
        <w:t xml:space="preserve">, </w:t>
      </w:r>
      <w:r w:rsidRPr="00C32F98">
        <w:rPr>
          <w:sz w:val="18"/>
          <w:szCs w:val="18"/>
        </w:rPr>
        <w:t>Faculty of Medicine</w:t>
      </w:r>
      <w:r w:rsidRPr="00C32F98">
        <w:rPr>
          <w:sz w:val="18"/>
          <w:szCs w:val="18"/>
          <w:lang w:bidi="ar-EG"/>
        </w:rPr>
        <w:t xml:space="preserve">, </w:t>
      </w:r>
      <w:r w:rsidRPr="00C32F98">
        <w:rPr>
          <w:sz w:val="18"/>
          <w:szCs w:val="18"/>
        </w:rPr>
        <w:t>University of Alexandria</w:t>
      </w:r>
      <w:r w:rsidRPr="00C32F98">
        <w:rPr>
          <w:sz w:val="18"/>
          <w:szCs w:val="18"/>
          <w:lang w:bidi="ar-EG"/>
        </w:rPr>
        <w:t>.</w:t>
      </w:r>
    </w:p>
    <w:p w:rsidR="00C32F98" w:rsidRPr="00C32F98" w:rsidRDefault="00C32F98" w:rsidP="00C32F98">
      <w:pPr>
        <w:tabs>
          <w:tab w:val="left" w:pos="5670"/>
        </w:tabs>
        <w:bidi w:val="0"/>
        <w:jc w:val="right"/>
        <w:rPr>
          <w:sz w:val="18"/>
          <w:szCs w:val="18"/>
          <w:lang w:bidi="ar-EG"/>
        </w:rPr>
      </w:pPr>
      <w:r w:rsidRPr="00C32F98">
        <w:rPr>
          <w:sz w:val="18"/>
          <w:szCs w:val="18"/>
          <w:vertAlign w:val="superscript"/>
          <w:lang w:val="en"/>
        </w:rPr>
        <w:t>(4))</w:t>
      </w:r>
      <w:r w:rsidRPr="00C32F98">
        <w:rPr>
          <w:sz w:val="18"/>
          <w:szCs w:val="18"/>
        </w:rPr>
        <w:t>Resident of Ophthalmology</w:t>
      </w:r>
      <w:r w:rsidRPr="00C32F98">
        <w:rPr>
          <w:sz w:val="18"/>
          <w:szCs w:val="18"/>
          <w:lang w:bidi="ar-EG"/>
        </w:rPr>
        <w:t xml:space="preserve">, </w:t>
      </w:r>
      <w:r w:rsidRPr="00C32F98">
        <w:rPr>
          <w:sz w:val="18"/>
          <w:szCs w:val="18"/>
        </w:rPr>
        <w:t>Faculty of Medicine</w:t>
      </w:r>
      <w:r w:rsidRPr="00C32F98">
        <w:rPr>
          <w:sz w:val="18"/>
          <w:szCs w:val="18"/>
          <w:lang w:bidi="ar-EG"/>
        </w:rPr>
        <w:t xml:space="preserve">, </w:t>
      </w:r>
      <w:r w:rsidRPr="00C32F98">
        <w:rPr>
          <w:sz w:val="18"/>
          <w:szCs w:val="18"/>
        </w:rPr>
        <w:t>University of Alexandria</w:t>
      </w:r>
      <w:r w:rsidRPr="00C32F98">
        <w:rPr>
          <w:sz w:val="18"/>
          <w:szCs w:val="18"/>
          <w:lang w:bidi="ar-EG"/>
        </w:rPr>
        <w:t>.</w:t>
      </w:r>
    </w:p>
    <w:p w:rsidR="00E7638C" w:rsidRDefault="00E7638C" w:rsidP="00C32F98">
      <w:pPr>
        <w:tabs>
          <w:tab w:val="left" w:pos="5670"/>
        </w:tabs>
        <w:bidi w:val="0"/>
        <w:jc w:val="right"/>
        <w:rPr>
          <w:sz w:val="16"/>
          <w:szCs w:val="16"/>
        </w:rPr>
      </w:pPr>
      <w:proofErr w:type="gramStart"/>
      <w:r>
        <w:rPr>
          <w:sz w:val="16"/>
          <w:szCs w:val="16"/>
          <w:lang w:bidi="ar-EG"/>
        </w:rPr>
        <w:t>e-mail</w:t>
      </w:r>
      <w:proofErr w:type="gramEnd"/>
      <w:r>
        <w:rPr>
          <w:sz w:val="16"/>
          <w:szCs w:val="16"/>
          <w:lang w:bidi="ar-EG"/>
        </w:rPr>
        <w:t xml:space="preserve">: </w:t>
      </w:r>
      <w:hyperlink r:id="rId5" w:history="1">
        <w:r w:rsidR="00C32F98" w:rsidRPr="008A3625">
          <w:rPr>
            <w:rStyle w:val="Hyperlink"/>
            <w:sz w:val="16"/>
            <w:szCs w:val="16"/>
            <w:lang w:bidi="ar-EG"/>
          </w:rPr>
          <w:t>nancyzakaria91@gmail.com</w:t>
        </w:r>
      </w:hyperlink>
      <w:r w:rsidR="00C32F98">
        <w:rPr>
          <w:sz w:val="16"/>
          <w:szCs w:val="16"/>
          <w:lang w:bidi="ar-EG"/>
        </w:rPr>
        <w:t xml:space="preserve"> </w:t>
      </w:r>
    </w:p>
    <w:p w:rsidR="00E7638C" w:rsidRDefault="004C5759" w:rsidP="00E7638C">
      <w:pPr>
        <w:tabs>
          <w:tab w:val="left" w:pos="5670"/>
        </w:tabs>
        <w:bidi w:val="0"/>
        <w:jc w:val="right"/>
        <w:rPr>
          <w:sz w:val="16"/>
          <w:szCs w:val="16"/>
          <w:lang w:bidi="ar-EG"/>
        </w:rPr>
      </w:pPr>
      <w:r>
        <w:rPr>
          <w:noProof/>
          <w:sz w:val="16"/>
          <w:szCs w:val="16"/>
        </w:rPr>
        <mc:AlternateContent>
          <mc:Choice Requires="wps">
            <w:drawing>
              <wp:anchor distT="0" distB="0" distL="114300" distR="114300" simplePos="0" relativeHeight="251657728" behindDoc="1" locked="0" layoutInCell="1" allowOverlap="1">
                <wp:simplePos x="0" y="0"/>
                <wp:positionH relativeFrom="page">
                  <wp:posOffset>911225</wp:posOffset>
                </wp:positionH>
                <wp:positionV relativeFrom="paragraph">
                  <wp:posOffset>38100</wp:posOffset>
                </wp:positionV>
                <wp:extent cx="5937250" cy="0"/>
                <wp:effectExtent l="0" t="0" r="0" b="0"/>
                <wp:wrapNone/>
                <wp:docPr id="9" na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7250" cy="0"/>
                        </a:xfrm>
                        <a:custGeom>
                          <a:avLst/>
                          <a:gdLst>
                            <a:gd name="T0" fmla="*/ 0 w 9350"/>
                            <a:gd name="T1" fmla="*/ 9350 w 9350"/>
                          </a:gdLst>
                          <a:ahLst/>
                          <a:cxnLst>
                            <a:cxn ang="0">
                              <a:pos x="T0" y="0"/>
                            </a:cxn>
                            <a:cxn ang="0">
                              <a:pos x="T1" y="0"/>
                            </a:cxn>
                          </a:cxnLst>
                          <a:rect l="0" t="0" r="r" b="b"/>
                          <a:pathLst>
                            <a:path w="9350">
                              <a:moveTo>
                                <a:pt x="0" y="0"/>
                              </a:moveTo>
                              <a:lnTo>
                                <a:pt x="9350" y="0"/>
                              </a:lnTo>
                            </a:path>
                          </a:pathLst>
                        </a:custGeom>
                        <a:noFill/>
                        <a:ln w="22225">
                          <a:solidFill>
                            <a:srgbClr val="27272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polyline w14:anchorId="2FEE3814" id=" 2"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1.75pt,3pt,539.25pt,3pt" coordsize="9350,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" filled="f" strokecolor="#272727" strokeweight="1.75pt">
                <v:path arrowok="t" o:connecttype="custom" o:connectlocs="0,0;5937250,0" o:connectangles="0,0"/>
                <w10:wrap anchorx="page"/>
              </v:polyline>
            </w:pict>
          </mc:Fallback>
        </mc:AlternateContent>
      </w:r>
    </w:p>
    <w:p w:rsidR="00E7638C" w:rsidRPr="00DA403D" w:rsidRDefault="00E7638C" w:rsidP="00DA403D">
      <w:pPr>
        <w:autoSpaceDE w:val="0"/>
        <w:autoSpaceDN w:val="0"/>
        <w:bidi w:val="0"/>
        <w:adjustRightInd w:val="0"/>
        <w:jc w:val="lowKashida"/>
      </w:pPr>
      <w:r w:rsidRPr="00DA403D">
        <w:rPr>
          <w:b/>
          <w:bCs/>
          <w:color w:val="000000"/>
        </w:rPr>
        <w:t xml:space="preserve">Introduction: </w:t>
      </w:r>
    </w:p>
    <w:p w:rsidR="00EB77C4" w:rsidRPr="00DA403D" w:rsidRDefault="00C32F98" w:rsidP="001A4E1C">
      <w:pPr>
        <w:autoSpaceDE w:val="0"/>
        <w:autoSpaceDN w:val="0"/>
        <w:bidi w:val="0"/>
        <w:adjustRightInd w:val="0"/>
        <w:spacing w:before="200"/>
        <w:ind w:firstLine="567"/>
        <w:jc w:val="both"/>
        <w:rPr>
          <w:rFonts w:asciiTheme="majorBidi" w:hAnsiTheme="majorBidi" w:cstheme="majorBidi"/>
        </w:rPr>
      </w:pPr>
      <w:r w:rsidRPr="00DA403D">
        <w:rPr>
          <w:rFonts w:asciiTheme="majorBidi" w:hAnsiTheme="majorBidi" w:cstheme="majorBidi"/>
          <w:color w:val="000000"/>
          <w:shd w:val="clear" w:color="auto" w:fill="FFFFFF"/>
        </w:rPr>
        <w:t>Pediatric keratoconus is a disease entity that is underdiagnosed. Even though there are extensive studies focusing on adult keratoconus, pediatric keratoconus is often overlooked.</w:t>
      </w:r>
      <w:r w:rsidRPr="00DA403D">
        <w:rPr>
          <w:rFonts w:asciiTheme="majorBidi" w:hAnsiTheme="majorBidi" w:cstheme="majorBidi"/>
          <w:color w:val="000000"/>
          <w:shd w:val="clear" w:color="auto" w:fill="FFFFFF"/>
          <w:vertAlign w:val="superscript"/>
        </w:rPr>
        <w:fldChar w:fldCharType="begin"/>
      </w:r>
      <w:r w:rsidRPr="00DA403D">
        <w:rPr>
          <w:rFonts w:asciiTheme="majorBidi" w:hAnsiTheme="majorBidi" w:cstheme="majorBidi"/>
          <w:color w:val="000000"/>
          <w:shd w:val="clear" w:color="auto" w:fill="FFFFFF"/>
          <w:vertAlign w:val="superscript"/>
        </w:rPr>
        <w:instrText xml:space="preserve"> ADDIN EN.CITE &lt;EndNote&gt;&lt;Cite&gt;&lt;Author&gt;Mukhtar&lt;/Author&gt;&lt;Year&gt;2018&lt;/Year&gt;&lt;RecNum&gt;14&lt;/RecNum&gt;&lt;DisplayText&gt;&lt;style face="superscript"&gt;(4)&lt;/style&gt;&lt;/DisplayText&gt;&lt;record&gt;&lt;rec-number&gt;14&lt;/rec-number&gt;&lt;foreign-keys&gt;&lt;key app="EN" db-id="fst0tpa0cf5aexeaetr520euvde0ew0fwfpf"&gt;14&lt;/key&gt;&lt;/foreign-keys&gt;&lt;ref-type name="Journal Article"&gt;17&lt;/ref-type&gt;&lt;contributors&gt;&lt;authors&gt;&lt;author&gt;Mukhtar, Sabrina&lt;/author&gt;&lt;author&gt;Ambati, Balamurali K&lt;/author&gt;&lt;/authors&gt;&lt;/contributors&gt;&lt;titles&gt;&lt;title&gt;Pediatric keratoconus: a review of the literature&lt;/title&gt;&lt;secondary-title&gt;Int Ophthalmol&lt;/secondary-title&gt;&lt;/titles&gt;&lt;periodical&gt;&lt;full-title&gt;Int Ophthalmol&lt;/full-title&gt;&lt;/periodical&gt;&lt;pages&gt;2257-2266&lt;/pages&gt;&lt;volume&gt;38&lt;/volume&gt;&lt;number&gt;5&lt;/number&gt;&lt;dates&gt;&lt;year&gt;2018&lt;/year&gt;&lt;/dates&gt;&lt;isbn&gt;0165-5701&lt;/isbn&gt;&lt;urls&gt;&lt;/urls&gt;&lt;/record&gt;&lt;/Cite&gt;&lt;/EndNote&gt;</w:instrText>
      </w:r>
      <w:r w:rsidRPr="00DA403D">
        <w:rPr>
          <w:rFonts w:asciiTheme="majorBidi" w:hAnsiTheme="majorBidi" w:cstheme="majorBidi"/>
          <w:color w:val="000000"/>
          <w:shd w:val="clear" w:color="auto" w:fill="FFFFFF"/>
          <w:vertAlign w:val="superscript"/>
        </w:rPr>
        <w:fldChar w:fldCharType="separate"/>
      </w:r>
      <w:r w:rsidR="001A4E1C">
        <w:rPr>
          <w:rFonts w:asciiTheme="majorBidi" w:hAnsiTheme="majorBidi" w:cstheme="majorBidi"/>
          <w:noProof/>
          <w:color w:val="000000"/>
          <w:shd w:val="clear" w:color="auto" w:fill="FFFFFF"/>
          <w:vertAlign w:val="superscript"/>
        </w:rPr>
        <w:t>(1</w:t>
      </w:r>
      <w:r w:rsidRPr="00DA403D">
        <w:rPr>
          <w:rFonts w:asciiTheme="majorBidi" w:hAnsiTheme="majorBidi" w:cstheme="majorBidi"/>
          <w:noProof/>
          <w:color w:val="000000"/>
          <w:shd w:val="clear" w:color="auto" w:fill="FFFFFF"/>
          <w:vertAlign w:val="superscript"/>
        </w:rPr>
        <w:t>)</w:t>
      </w:r>
      <w:r w:rsidRPr="00DA403D">
        <w:rPr>
          <w:rFonts w:asciiTheme="majorBidi" w:hAnsiTheme="majorBidi" w:cstheme="majorBidi"/>
          <w:color w:val="000000"/>
          <w:shd w:val="clear" w:color="auto" w:fill="FFFFFF"/>
          <w:vertAlign w:val="superscript"/>
        </w:rPr>
        <w:fldChar w:fldCharType="end"/>
      </w:r>
      <w:r w:rsidRPr="00DA403D">
        <w:rPr>
          <w:rFonts w:asciiTheme="majorBidi" w:hAnsiTheme="majorBidi" w:cstheme="majorBidi"/>
          <w:color w:val="000000"/>
          <w:shd w:val="clear" w:color="auto" w:fill="FFFFFF"/>
          <w:vertAlign w:val="superscript"/>
        </w:rPr>
        <w:t xml:space="preserve"> </w:t>
      </w:r>
      <w:r w:rsidRPr="00DA403D">
        <w:rPr>
          <w:rFonts w:asciiTheme="majorBidi" w:hAnsiTheme="majorBidi" w:cstheme="majorBidi"/>
        </w:rPr>
        <w:t>This is probably due to the acceptable visual function in its early stages, which does not influence daily life activities, and therefore the effects of the condition are generally not evident to the patient nor the caregivers like parents or teachers.</w:t>
      </w:r>
      <w:r w:rsidRPr="00DA403D">
        <w:rPr>
          <w:rFonts w:asciiTheme="majorBidi" w:hAnsiTheme="majorBidi" w:cstheme="majorBidi"/>
          <w:vertAlign w:val="superscript"/>
        </w:rPr>
        <w:fldChar w:fldCharType="begin"/>
      </w:r>
      <w:r w:rsidRPr="00DA403D">
        <w:rPr>
          <w:rFonts w:asciiTheme="majorBidi" w:hAnsiTheme="majorBidi" w:cstheme="majorBidi"/>
          <w:vertAlign w:val="superscript"/>
        </w:rPr>
        <w:instrText xml:space="preserve"> ADDIN EN.CITE &lt;EndNote&gt;&lt;Cite&gt;&lt;Author&gt;Buzzonetti&lt;/Author&gt;&lt;Year&gt;2017&lt;/Year&gt;&lt;RecNum&gt;88&lt;/RecNum&gt;&lt;DisplayText&gt;&lt;style face="superscript"&gt;(78)&lt;/style&gt;&lt;/DisplayText&gt;&lt;record&gt;&lt;rec-number&gt;88&lt;/rec-number&gt;&lt;foreign-keys&gt;&lt;key app="EN" db-id="fst0tpa0cf5aexeaetr520euvde0ew0fwfpf"&gt;88&lt;/key&gt;&lt;/foreign-keys&gt;&lt;ref-type name="Book Section"&gt;5&lt;/ref-type&gt;&lt;contributors&gt;&lt;authors&gt;&lt;author&gt;Buzzonetti, Luca&lt;/author&gt;&lt;author&gt;Valente, Paola&lt;/author&gt;&lt;author&gt;Petrocelli, Gianni&lt;/author&gt;&lt;/authors&gt;&lt;secondary-authors&gt;&lt;author&gt;Alió, J.L.&lt;/author&gt;&lt;/secondary-authors&gt;&lt;/contributors&gt;&lt;titles&gt;&lt;title&gt;Keratoconus in Children&lt;/title&gt;&lt;secondary-title&gt;Keratoconus: Recent Advances in Diagnosis and Treatment&lt;/secondary-title&gt;&lt;/titles&gt;&lt;pages&gt;43-52&lt;/pages&gt;&lt;dates&gt;&lt;year&gt;2017&lt;/year&gt;&lt;/dates&gt;&lt;pub-location&gt;Switzerland&lt;/pub-location&gt;&lt;publisher&gt;Springer&lt;/publisher&gt;&lt;urls&gt;&lt;/urls&gt;&lt;/record&gt;&lt;/Cite&gt;&lt;/EndNote&gt;</w:instrText>
      </w:r>
      <w:r w:rsidRPr="00DA403D">
        <w:rPr>
          <w:rFonts w:asciiTheme="majorBidi" w:hAnsiTheme="majorBidi" w:cstheme="majorBidi"/>
          <w:vertAlign w:val="superscript"/>
        </w:rPr>
        <w:fldChar w:fldCharType="separate"/>
      </w:r>
      <w:r w:rsidR="001A4E1C">
        <w:rPr>
          <w:rFonts w:asciiTheme="majorBidi" w:hAnsiTheme="majorBidi" w:cstheme="majorBidi"/>
          <w:noProof/>
          <w:vertAlign w:val="superscript"/>
        </w:rPr>
        <w:t>(2</w:t>
      </w:r>
      <w:r w:rsidRPr="00DA403D">
        <w:rPr>
          <w:rFonts w:asciiTheme="majorBidi" w:hAnsiTheme="majorBidi" w:cstheme="majorBidi"/>
          <w:noProof/>
          <w:vertAlign w:val="superscript"/>
        </w:rPr>
        <w:t>)</w:t>
      </w:r>
      <w:r w:rsidRPr="00DA403D">
        <w:rPr>
          <w:rFonts w:asciiTheme="majorBidi" w:hAnsiTheme="majorBidi" w:cstheme="majorBidi"/>
          <w:vertAlign w:val="superscript"/>
        </w:rPr>
        <w:fldChar w:fldCharType="end"/>
      </w:r>
      <w:r w:rsidRPr="00DA403D">
        <w:rPr>
          <w:rFonts w:asciiTheme="majorBidi" w:hAnsiTheme="majorBidi" w:cstheme="majorBidi"/>
          <w:vertAlign w:val="superscript"/>
        </w:rPr>
        <w:t xml:space="preserve"> </w:t>
      </w:r>
      <w:r w:rsidRPr="00DA403D">
        <w:rPr>
          <w:rFonts w:asciiTheme="majorBidi" w:hAnsiTheme="majorBidi" w:cstheme="majorBidi"/>
        </w:rPr>
        <w:t>Nevertheless, it eventually results in considerable visual impairment that negatively impacts the quality of life by affecting social and educational development.</w:t>
      </w:r>
      <w:r w:rsidRPr="00DA403D">
        <w:rPr>
          <w:rFonts w:asciiTheme="majorBidi" w:hAnsiTheme="majorBidi" w:cstheme="majorBidi"/>
          <w:vertAlign w:val="superscript"/>
        </w:rPr>
        <w:t xml:space="preserve"> </w:t>
      </w:r>
      <w:r w:rsidRPr="00DA403D">
        <w:rPr>
          <w:rFonts w:asciiTheme="majorBidi" w:hAnsiTheme="majorBidi" w:cstheme="majorBidi"/>
          <w:spacing w:val="-2"/>
        </w:rPr>
        <w:t>This disease tends to be more aggressive in the children than in adults due to the dynamic environment in the young cornea</w:t>
      </w:r>
      <w:r w:rsidR="00EB77C4" w:rsidRPr="00DA403D">
        <w:rPr>
          <w:rFonts w:asciiTheme="majorBidi" w:hAnsiTheme="majorBidi" w:cstheme="majorBidi"/>
          <w:spacing w:val="-2"/>
        </w:rPr>
        <w:t xml:space="preserve"> as well as the often presence of co-existing </w:t>
      </w:r>
      <w:proofErr w:type="spellStart"/>
      <w:r w:rsidR="00EB77C4" w:rsidRPr="00DA403D">
        <w:rPr>
          <w:rFonts w:asciiTheme="majorBidi" w:hAnsiTheme="majorBidi" w:cstheme="majorBidi"/>
          <w:spacing w:val="-2"/>
        </w:rPr>
        <w:t>atopy</w:t>
      </w:r>
      <w:proofErr w:type="spellEnd"/>
      <w:r w:rsidR="00EB77C4" w:rsidRPr="00DA403D">
        <w:rPr>
          <w:rFonts w:asciiTheme="majorBidi" w:hAnsiTheme="majorBidi" w:cstheme="majorBidi"/>
          <w:spacing w:val="-2"/>
        </w:rPr>
        <w:t xml:space="preserve"> and vernal </w:t>
      </w:r>
      <w:proofErr w:type="spellStart"/>
      <w:r w:rsidR="00EB77C4" w:rsidRPr="00DA403D">
        <w:rPr>
          <w:rFonts w:asciiTheme="majorBidi" w:hAnsiTheme="majorBidi" w:cstheme="majorBidi"/>
          <w:spacing w:val="-2"/>
        </w:rPr>
        <w:t>keratoconjunctivits</w:t>
      </w:r>
      <w:proofErr w:type="spellEnd"/>
      <w:r w:rsidR="00EB77C4" w:rsidRPr="00DA403D">
        <w:rPr>
          <w:rFonts w:asciiTheme="majorBidi" w:hAnsiTheme="majorBidi" w:cstheme="majorBidi"/>
          <w:spacing w:val="-2"/>
        </w:rPr>
        <w:t xml:space="preserve">. </w:t>
      </w:r>
      <w:r w:rsidR="00EB77C4" w:rsidRPr="00DA403D">
        <w:rPr>
          <w:rFonts w:asciiTheme="majorBidi" w:hAnsiTheme="majorBidi" w:cstheme="majorBidi"/>
        </w:rPr>
        <w:t xml:space="preserve">Both pediatric and adult keratoconus are managed using the same regimen based on the disease stage. Options include cross-linking, glasses, contact lenses, and </w:t>
      </w:r>
      <w:proofErr w:type="spellStart"/>
      <w:r w:rsidR="00EB77C4" w:rsidRPr="00DA403D">
        <w:rPr>
          <w:rFonts w:asciiTheme="majorBidi" w:hAnsiTheme="majorBidi" w:cstheme="majorBidi"/>
        </w:rPr>
        <w:t>keratoplasty</w:t>
      </w:r>
      <w:proofErr w:type="spellEnd"/>
      <w:r w:rsidR="00EB77C4" w:rsidRPr="00DA403D">
        <w:rPr>
          <w:rFonts w:asciiTheme="majorBidi" w:hAnsiTheme="majorBidi" w:cstheme="majorBidi"/>
        </w:rPr>
        <w:t>. Corneal cross-linking treatment in particular has gained popularity over the past two decades. Due to its promising results in managing adult keratoconus, corneal cross-linking has recently been studied as therapy to slow advancement in pediatric keratoconus as well.</w:t>
      </w:r>
      <w:r w:rsidR="00EB77C4" w:rsidRPr="00DA403D">
        <w:rPr>
          <w:rFonts w:asciiTheme="majorBidi" w:hAnsiTheme="majorBidi" w:cstheme="majorBidi"/>
          <w:vertAlign w:val="superscript"/>
        </w:rPr>
        <w:fldChar w:fldCharType="begin"/>
      </w:r>
      <w:r w:rsidR="00EB77C4" w:rsidRPr="00DA403D">
        <w:rPr>
          <w:rFonts w:asciiTheme="majorBidi" w:hAnsiTheme="majorBidi" w:cstheme="majorBidi"/>
          <w:vertAlign w:val="superscript"/>
        </w:rPr>
        <w:instrText xml:space="preserve"> ADDIN EN.CITE &lt;EndNote&gt;&lt;Cite&gt;&lt;Author&gt;Mukhtar&lt;/Author&gt;&lt;Year&gt;2018&lt;/Year&gt;&lt;RecNum&gt;14&lt;/RecNum&gt;&lt;DisplayText&gt;&lt;style face="superscript"&gt;(4)&lt;/style&gt;&lt;/DisplayText&gt;&lt;record&gt;&lt;rec-number&gt;14&lt;/rec-number&gt;&lt;foreign-keys&gt;&lt;key app="EN" db-id="fst0tpa0cf5aexeaetr520euvde0ew0fwfpf"&gt;14&lt;/key&gt;&lt;/foreign-keys&gt;&lt;ref-type name="Journal Article"&gt;17&lt;/ref-type&gt;&lt;contributors&gt;&lt;authors&gt;&lt;author&gt;Mukhtar, Sabrina&lt;/author&gt;&lt;author&gt;Ambati, Balamurali K&lt;/author&gt;&lt;/authors&gt;&lt;/contributors&gt;&lt;titles&gt;&lt;title&gt;Pediatric keratoconus: a review of the literature&lt;/title&gt;&lt;secondary-title&gt;Int Ophthalmol&lt;/secondary-title&gt;&lt;/titles&gt;&lt;periodical&gt;&lt;full-title&gt;Int Ophthalmol&lt;/full-title&gt;&lt;/periodical&gt;&lt;pages&gt;2257-2266&lt;/pages&gt;&lt;volume&gt;38&lt;/volume&gt;&lt;number&gt;5&lt;/number&gt;&lt;dates&gt;&lt;year&gt;2018&lt;/year&gt;&lt;/dates&gt;&lt;isbn&gt;0165-5701&lt;/isbn&gt;&lt;urls&gt;&lt;/urls&gt;&lt;/record&gt;&lt;/Cite&gt;&lt;/EndNote&gt;</w:instrText>
      </w:r>
      <w:r w:rsidR="00EB77C4" w:rsidRPr="00DA403D">
        <w:rPr>
          <w:rFonts w:asciiTheme="majorBidi" w:hAnsiTheme="majorBidi" w:cstheme="majorBidi"/>
          <w:vertAlign w:val="superscript"/>
        </w:rPr>
        <w:fldChar w:fldCharType="separate"/>
      </w:r>
      <w:r w:rsidR="001A4E1C">
        <w:rPr>
          <w:rFonts w:asciiTheme="majorBidi" w:hAnsiTheme="majorBidi" w:cstheme="majorBidi"/>
          <w:noProof/>
          <w:vertAlign w:val="superscript"/>
        </w:rPr>
        <w:t>(1</w:t>
      </w:r>
      <w:r w:rsidR="00EB77C4" w:rsidRPr="00DA403D">
        <w:rPr>
          <w:rFonts w:asciiTheme="majorBidi" w:hAnsiTheme="majorBidi" w:cstheme="majorBidi"/>
          <w:noProof/>
          <w:vertAlign w:val="superscript"/>
        </w:rPr>
        <w:t>)</w:t>
      </w:r>
      <w:r w:rsidR="00EB77C4" w:rsidRPr="00DA403D">
        <w:rPr>
          <w:rFonts w:asciiTheme="majorBidi" w:hAnsiTheme="majorBidi" w:cstheme="majorBidi"/>
          <w:vertAlign w:val="superscript"/>
        </w:rPr>
        <w:fldChar w:fldCharType="end"/>
      </w:r>
      <w:r w:rsidR="00EB77C4" w:rsidRPr="00DA403D">
        <w:rPr>
          <w:rFonts w:asciiTheme="majorBidi" w:hAnsiTheme="majorBidi" w:cstheme="majorBidi"/>
          <w:vertAlign w:val="superscript"/>
        </w:rPr>
        <w:t xml:space="preserve"> </w:t>
      </w:r>
      <w:r w:rsidR="00EB77C4" w:rsidRPr="00DA403D">
        <w:rPr>
          <w:rFonts w:asciiTheme="majorBidi" w:hAnsiTheme="majorBidi" w:cstheme="majorBidi"/>
        </w:rPr>
        <w:t>Although a recent global consensus on keratoconus states that there is no age restriction to CXL, literature on CXL in the pediatric population is limited compared with that of adults.</w:t>
      </w:r>
      <w:r w:rsidR="001A4E1C" w:rsidRPr="00DA403D">
        <w:rPr>
          <w:rFonts w:asciiTheme="majorBidi" w:hAnsiTheme="majorBidi" w:cstheme="majorBidi"/>
        </w:rPr>
        <w:t xml:space="preserve"> </w:t>
      </w:r>
      <w:r w:rsidR="00EB77C4" w:rsidRPr="00DA403D">
        <w:rPr>
          <w:rFonts w:asciiTheme="majorBidi" w:hAnsiTheme="majorBidi" w:cstheme="majorBidi"/>
        </w:rPr>
        <w:t>Many published articles, however, report good safety and efficacy as well as substantial improvement of K readings, UCVA, and BCVA.</w:t>
      </w:r>
      <w:r w:rsidR="001A4E1C">
        <w:rPr>
          <w:rFonts w:asciiTheme="majorBidi" w:hAnsiTheme="majorBidi" w:cstheme="majorBidi"/>
        </w:rPr>
        <w:t xml:space="preserve"> </w:t>
      </w:r>
      <w:r w:rsidR="001A4E1C" w:rsidRPr="001A4E1C">
        <w:rPr>
          <w:rFonts w:asciiTheme="majorBidi" w:hAnsiTheme="majorBidi" w:cstheme="majorBidi"/>
          <w:vertAlign w:val="superscript"/>
        </w:rPr>
        <w:t>(3)</w:t>
      </w:r>
      <w:r w:rsidR="001A4E1C" w:rsidRPr="00DA403D">
        <w:rPr>
          <w:rFonts w:asciiTheme="majorBidi" w:hAnsiTheme="majorBidi" w:cstheme="majorBidi"/>
        </w:rPr>
        <w:t xml:space="preserve"> </w:t>
      </w:r>
    </w:p>
    <w:p w:rsidR="00C32F98" w:rsidRPr="00DA403D" w:rsidRDefault="00C32F98" w:rsidP="00DA403D">
      <w:pPr>
        <w:jc w:val="right"/>
      </w:pPr>
    </w:p>
    <w:p w:rsidR="00E7638C" w:rsidRPr="00DA403D" w:rsidRDefault="00E7638C" w:rsidP="00DA403D">
      <w:pPr>
        <w:jc w:val="right"/>
        <w:rPr>
          <w:color w:val="000000"/>
        </w:rPr>
      </w:pPr>
      <w:r w:rsidRPr="00DA403D">
        <w:rPr>
          <w:b/>
          <w:bCs/>
          <w:color w:val="000000"/>
        </w:rPr>
        <w:t xml:space="preserve">Objective: </w:t>
      </w:r>
      <w:r w:rsidR="001A4E1C">
        <w:rPr>
          <w:b/>
          <w:bCs/>
          <w:color w:val="000000"/>
        </w:rPr>
        <w:t xml:space="preserve"> </w:t>
      </w:r>
    </w:p>
    <w:p w:rsidR="00EB77C4" w:rsidRPr="00DA403D" w:rsidRDefault="00EB77C4" w:rsidP="00DA403D">
      <w:pPr>
        <w:spacing w:before="200"/>
        <w:ind w:firstLine="567"/>
        <w:jc w:val="right"/>
        <w:rPr>
          <w:rFonts w:asciiTheme="majorBidi" w:hAnsiTheme="majorBidi" w:cstheme="majorBidi"/>
        </w:rPr>
      </w:pPr>
      <w:r w:rsidRPr="00DA403D">
        <w:rPr>
          <w:rFonts w:asciiTheme="majorBidi" w:hAnsiTheme="majorBidi" w:cstheme="majorBidi"/>
        </w:rPr>
        <w:t>T</w:t>
      </w:r>
      <w:r w:rsidR="00DA403D">
        <w:rPr>
          <w:rFonts w:asciiTheme="majorBidi" w:hAnsiTheme="majorBidi" w:cstheme="majorBidi"/>
        </w:rPr>
        <w:t>o</w:t>
      </w:r>
      <w:r w:rsidRPr="00DA403D">
        <w:rPr>
          <w:rFonts w:asciiTheme="majorBidi" w:hAnsiTheme="majorBidi" w:cstheme="majorBidi"/>
        </w:rPr>
        <w:t xml:space="preserve"> evaluate the corneal tomographic effects of cross-linking on pediatric </w:t>
      </w:r>
      <w:r w:rsidR="00DA403D">
        <w:rPr>
          <w:rFonts w:asciiTheme="majorBidi" w:hAnsiTheme="majorBidi" w:cstheme="majorBidi"/>
        </w:rPr>
        <w:t>keratoconus</w:t>
      </w:r>
    </w:p>
    <w:p w:rsidR="00E7638C" w:rsidRPr="00DA403D" w:rsidRDefault="00E7638C" w:rsidP="00DA403D">
      <w:pPr>
        <w:autoSpaceDE w:val="0"/>
        <w:autoSpaceDN w:val="0"/>
        <w:bidi w:val="0"/>
        <w:adjustRightInd w:val="0"/>
        <w:jc w:val="lowKashida"/>
      </w:pPr>
      <w:r w:rsidRPr="00DA403D">
        <w:rPr>
          <w:b/>
          <w:bCs/>
          <w:color w:val="000000"/>
        </w:rPr>
        <w:t>Methods</w:t>
      </w:r>
      <w:r w:rsidRPr="00DA403D">
        <w:rPr>
          <w:color w:val="000000"/>
        </w:rPr>
        <w:t xml:space="preserve">: </w:t>
      </w:r>
    </w:p>
    <w:p w:rsidR="00640CE1" w:rsidRPr="00DA403D" w:rsidRDefault="00EB77C4" w:rsidP="001A4E1C">
      <w:pPr>
        <w:autoSpaceDE w:val="0"/>
        <w:autoSpaceDN w:val="0"/>
        <w:bidi w:val="0"/>
        <w:adjustRightInd w:val="0"/>
        <w:jc w:val="lowKashida"/>
        <w:rPr>
          <w:color w:val="000000"/>
        </w:rPr>
      </w:pPr>
      <w:r w:rsidRPr="00DA403D">
        <w:t xml:space="preserve">This research is </w:t>
      </w:r>
      <w:r w:rsidRPr="00DA403D">
        <w:rPr>
          <w:rFonts w:asciiTheme="majorBidi" w:hAnsiTheme="majorBidi" w:cstheme="majorBidi"/>
        </w:rPr>
        <w:t>retrospective, non-randomized, consecutive interventional study</w:t>
      </w:r>
      <w:r w:rsidR="00E7638C" w:rsidRPr="00DA403D">
        <w:t xml:space="preserve"> design in a sample of </w:t>
      </w:r>
      <w:r w:rsidRPr="00DA403D">
        <w:t>30 eyes</w:t>
      </w:r>
      <w:r w:rsidR="001A4E1C">
        <w:t xml:space="preserve"> </w:t>
      </w:r>
      <w:r w:rsidR="00117416" w:rsidRPr="00DA403D">
        <w:t>of 15 patients</w:t>
      </w:r>
      <w:r w:rsidRPr="00DA403D">
        <w:t xml:space="preserve"> </w:t>
      </w:r>
      <w:r w:rsidR="00E7638C" w:rsidRPr="00DA403D">
        <w:t xml:space="preserve">with </w:t>
      </w:r>
      <w:r w:rsidRPr="00DA403D">
        <w:rPr>
          <w:rFonts w:asciiTheme="majorBidi" w:hAnsiTheme="majorBidi" w:cstheme="majorBidi"/>
        </w:rPr>
        <w:t xml:space="preserve">Topographic findings consistent with keratoconus according to </w:t>
      </w:r>
      <w:proofErr w:type="spellStart"/>
      <w:r w:rsidRPr="00DA403D">
        <w:rPr>
          <w:rFonts w:asciiTheme="majorBidi" w:hAnsiTheme="majorBidi" w:cstheme="majorBidi"/>
        </w:rPr>
        <w:t>Robinowitz</w:t>
      </w:r>
      <w:proofErr w:type="spellEnd"/>
      <w:r w:rsidRPr="00DA403D">
        <w:rPr>
          <w:rFonts w:asciiTheme="majorBidi" w:hAnsiTheme="majorBidi" w:cstheme="majorBidi"/>
        </w:rPr>
        <w:t xml:space="preserve"> criteria</w:t>
      </w:r>
      <w:r w:rsidRPr="00DA403D">
        <w:rPr>
          <w:color w:val="000000"/>
        </w:rPr>
        <w:t xml:space="preserve"> </w:t>
      </w:r>
      <w:r w:rsidR="00E7638C" w:rsidRPr="00DA403D">
        <w:rPr>
          <w:color w:val="000000"/>
        </w:rPr>
        <w:t xml:space="preserve">from </w:t>
      </w:r>
      <w:r w:rsidRPr="00DA403D">
        <w:rPr>
          <w:color w:val="000000"/>
        </w:rPr>
        <w:t>January</w:t>
      </w:r>
      <w:r w:rsidR="00E7638C" w:rsidRPr="00DA403D">
        <w:rPr>
          <w:color w:val="000000"/>
        </w:rPr>
        <w:t xml:space="preserve"> </w:t>
      </w:r>
      <w:r w:rsidRPr="00DA403D">
        <w:rPr>
          <w:color w:val="000000"/>
        </w:rPr>
        <w:t>2012</w:t>
      </w:r>
      <w:r w:rsidR="00E7638C" w:rsidRPr="00DA403D">
        <w:rPr>
          <w:color w:val="000000"/>
        </w:rPr>
        <w:t xml:space="preserve"> to </w:t>
      </w:r>
      <w:r w:rsidRPr="00DA403D">
        <w:rPr>
          <w:color w:val="000000"/>
        </w:rPr>
        <w:t xml:space="preserve">October 2016 of patient ages less than 18 years old, </w:t>
      </w:r>
      <w:r w:rsidR="00117416" w:rsidRPr="00DA403D">
        <w:rPr>
          <w:color w:val="000000"/>
        </w:rPr>
        <w:t xml:space="preserve">with a minimum corneal thickness at least 400 micrometers, and a minimum follow up period of 1 year after excluding those with history of herpetic keratitis and those with </w:t>
      </w:r>
      <w:r w:rsidR="00117416" w:rsidRPr="00DA403D">
        <w:rPr>
          <w:rFonts w:asciiTheme="majorBidi" w:hAnsiTheme="majorBidi" w:cstheme="majorBidi"/>
        </w:rPr>
        <w:t>ocular or systemic disease that prevents wound healing</w:t>
      </w:r>
      <w:r w:rsidR="00E7638C" w:rsidRPr="00DA403D">
        <w:rPr>
          <w:color w:val="000000"/>
        </w:rPr>
        <w:t>.</w:t>
      </w:r>
      <w:r w:rsidR="00FB3D93" w:rsidRPr="00DA403D">
        <w:rPr>
          <w:color w:val="000000"/>
        </w:rPr>
        <w:t xml:space="preserve"> A</w:t>
      </w:r>
      <w:r w:rsidR="00E7638C" w:rsidRPr="00DA403D">
        <w:rPr>
          <w:color w:val="000000"/>
        </w:rPr>
        <w:t xml:space="preserve">ll patients </w:t>
      </w:r>
      <w:r w:rsidR="00FB3D93" w:rsidRPr="00DA403D">
        <w:rPr>
          <w:rFonts w:asciiTheme="majorBidi" w:hAnsiTheme="majorBidi" w:cstheme="majorBidi"/>
        </w:rPr>
        <w:t xml:space="preserve">were treated with CXL following the modified Dresden </w:t>
      </w:r>
      <w:proofErr w:type="gramStart"/>
      <w:r w:rsidR="00FB3D93" w:rsidRPr="00DA403D">
        <w:rPr>
          <w:rFonts w:asciiTheme="majorBidi" w:hAnsiTheme="majorBidi" w:cstheme="majorBidi"/>
        </w:rPr>
        <w:t>protocol</w:t>
      </w:r>
      <w:r w:rsidR="001A4E1C">
        <w:rPr>
          <w:rFonts w:asciiTheme="majorBidi" w:hAnsiTheme="majorBidi" w:cstheme="majorBidi"/>
          <w:vertAlign w:val="superscript"/>
        </w:rPr>
        <w:t xml:space="preserve"> </w:t>
      </w:r>
      <w:r w:rsidR="00FB3D93" w:rsidRPr="00DA403D">
        <w:rPr>
          <w:rFonts w:asciiTheme="majorBidi" w:hAnsiTheme="majorBidi" w:cstheme="majorBidi"/>
          <w:vertAlign w:val="superscript"/>
        </w:rPr>
        <w:t xml:space="preserve"> </w:t>
      </w:r>
      <w:r w:rsidR="00FB3D93" w:rsidRPr="00DA403D">
        <w:rPr>
          <w:rFonts w:asciiTheme="majorBidi" w:hAnsiTheme="majorBidi" w:cstheme="majorBidi"/>
        </w:rPr>
        <w:t>by</w:t>
      </w:r>
      <w:proofErr w:type="gramEnd"/>
      <w:r w:rsidR="00FB3D93" w:rsidRPr="00DA403D">
        <w:rPr>
          <w:rFonts w:asciiTheme="majorBidi" w:hAnsiTheme="majorBidi" w:cstheme="majorBidi"/>
        </w:rPr>
        <w:t xml:space="preserve"> the same surgeon under sterile conditions. Records about the medical and surgical history were reviewed; all patients’ full </w:t>
      </w:r>
      <w:proofErr w:type="spellStart"/>
      <w:r w:rsidR="00FB3D93" w:rsidRPr="00DA403D">
        <w:rPr>
          <w:rFonts w:asciiTheme="majorBidi" w:hAnsiTheme="majorBidi" w:cstheme="majorBidi"/>
        </w:rPr>
        <w:t>pentacam</w:t>
      </w:r>
      <w:proofErr w:type="spellEnd"/>
      <w:r w:rsidR="00FB3D93" w:rsidRPr="00DA403D">
        <w:rPr>
          <w:rFonts w:asciiTheme="majorBidi" w:hAnsiTheme="majorBidi" w:cstheme="majorBidi"/>
        </w:rPr>
        <w:t xml:space="preserve"> study were reviewed pre-operatively and then at 3 months, 6 months, 1 year, and then annually thereafter.</w:t>
      </w:r>
    </w:p>
    <w:p w:rsidR="00640CE1" w:rsidRPr="00DA403D" w:rsidRDefault="00640CE1" w:rsidP="00DA403D">
      <w:pPr>
        <w:autoSpaceDE w:val="0"/>
        <w:autoSpaceDN w:val="0"/>
        <w:bidi w:val="0"/>
        <w:adjustRightInd w:val="0"/>
        <w:jc w:val="lowKashida"/>
        <w:rPr>
          <w:color w:val="000000"/>
        </w:rPr>
      </w:pPr>
    </w:p>
    <w:p w:rsidR="00E7638C" w:rsidRPr="00DA403D" w:rsidRDefault="00E7638C" w:rsidP="00DA403D">
      <w:pPr>
        <w:autoSpaceDE w:val="0"/>
        <w:autoSpaceDN w:val="0"/>
        <w:bidi w:val="0"/>
        <w:adjustRightInd w:val="0"/>
        <w:jc w:val="lowKashida"/>
        <w:rPr>
          <w:b/>
          <w:bCs/>
          <w:color w:val="000000"/>
        </w:rPr>
      </w:pPr>
      <w:r w:rsidRPr="00DA403D">
        <w:rPr>
          <w:b/>
          <w:bCs/>
          <w:color w:val="000000"/>
        </w:rPr>
        <w:t xml:space="preserve">Results: </w:t>
      </w:r>
    </w:p>
    <w:p w:rsidR="00DA403D" w:rsidRPr="00DA403D" w:rsidRDefault="00DA403D" w:rsidP="00DA403D">
      <w:pPr>
        <w:pStyle w:val="Default"/>
        <w:ind w:firstLine="720"/>
        <w:jc w:val="both"/>
        <w:rPr>
          <w:color w:val="FF0000"/>
          <w:lang w:val="en-GB"/>
        </w:rPr>
      </w:pPr>
      <w:r w:rsidRPr="00DA403D">
        <w:rPr>
          <w:color w:val="auto"/>
          <w:lang w:val="en-GB"/>
        </w:rPr>
        <w:t xml:space="preserve">A total of 30 eyes of 15 patients with mean age of 13.3 years (SD: 2.6, median: 13.0, range: 9 to 17 years) were enrolled. The sample was comprised of 35 males (47.9%) and 38 females (52.1%). Table 1 summarizes the preoperative and postoperative corneal topographic data obtained in the sample evaluated. As shown, statistically significant changes were detected during the follow-up in </w:t>
      </w:r>
      <w:proofErr w:type="spellStart"/>
      <w:r w:rsidRPr="00DA403D">
        <w:rPr>
          <w:color w:val="auto"/>
          <w:lang w:val="en-GB"/>
        </w:rPr>
        <w:t>keratometric</w:t>
      </w:r>
      <w:proofErr w:type="spellEnd"/>
      <w:r w:rsidRPr="00DA403D">
        <w:rPr>
          <w:color w:val="auto"/>
          <w:lang w:val="en-GB"/>
        </w:rPr>
        <w:t xml:space="preserve"> readings, Q, ACE, ISV, IVA, KI, and IHA (p≤0.030). Table 2 summarizes the preoperative and postoperative corneal </w:t>
      </w:r>
      <w:proofErr w:type="spellStart"/>
      <w:r w:rsidRPr="00DA403D">
        <w:rPr>
          <w:color w:val="auto"/>
          <w:lang w:val="en-GB"/>
        </w:rPr>
        <w:t>pachymetric</w:t>
      </w:r>
      <w:proofErr w:type="spellEnd"/>
      <w:r w:rsidRPr="00DA403D">
        <w:rPr>
          <w:color w:val="auto"/>
          <w:lang w:val="en-GB"/>
        </w:rPr>
        <w:t xml:space="preserve"> data obtained in the sample evaluated. As shown, statistically significant changes were detected during the follow-up in CCT and MCT (p&lt;0.001). Concerning the X and Y coordinates of the position of the point of minimum thickness, no significant changes were detected during the follow-up (p≥0.169).</w:t>
      </w:r>
    </w:p>
    <w:p w:rsidR="00DA403D" w:rsidRPr="00DA403D" w:rsidRDefault="00DA403D" w:rsidP="00DA403D">
      <w:pPr>
        <w:autoSpaceDE w:val="0"/>
        <w:autoSpaceDN w:val="0"/>
        <w:bidi w:val="0"/>
        <w:adjustRightInd w:val="0"/>
        <w:jc w:val="both"/>
        <w:rPr>
          <w:b/>
          <w:bCs/>
          <w:color w:val="000000"/>
          <w:lang w:val="en-GB"/>
        </w:rPr>
      </w:pPr>
      <w:r w:rsidRPr="00DA403D">
        <w:rPr>
          <w:rFonts w:asciiTheme="majorBidi" w:hAnsiTheme="majorBidi" w:cstheme="majorBidi"/>
          <w:noProof/>
        </w:rPr>
        <w:drawing>
          <wp:inline distT="0" distB="0" distL="0" distR="0" wp14:anchorId="5E5B7C26" wp14:editId="76B6AD72">
            <wp:extent cx="3590925" cy="22493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screen">
                      <a:extLst>
                        <a:ext uri="{28A0092B-C50C-407E-A947-70E740481C1C}">
                          <a14:useLocalDpi xmlns:a14="http://schemas.microsoft.com/office/drawing/2010/main"/>
                        </a:ext>
                      </a:extLst>
                    </a:blip>
                    <a:srcRect/>
                    <a:stretch>
                      <a:fillRect/>
                    </a:stretch>
                  </pic:blipFill>
                  <pic:spPr bwMode="auto">
                    <a:xfrm>
                      <a:off x="0" y="0"/>
                      <a:ext cx="3594223" cy="2251445"/>
                    </a:xfrm>
                    <a:prstGeom prst="rect">
                      <a:avLst/>
                    </a:prstGeom>
                    <a:noFill/>
                  </pic:spPr>
                </pic:pic>
              </a:graphicData>
            </a:graphic>
          </wp:inline>
        </w:drawing>
      </w:r>
    </w:p>
    <w:p w:rsidR="00DA403D" w:rsidRPr="00DA403D" w:rsidRDefault="00DA403D" w:rsidP="00DA403D">
      <w:pPr>
        <w:bidi w:val="0"/>
        <w:rPr>
          <w:lang w:val="en-GB"/>
        </w:rPr>
      </w:pPr>
    </w:p>
    <w:p w:rsidR="00DA403D" w:rsidRPr="00DA403D" w:rsidRDefault="00DA403D" w:rsidP="00DA403D">
      <w:pPr>
        <w:bidi w:val="0"/>
        <w:spacing w:before="200"/>
        <w:ind w:left="1418" w:hanging="1418"/>
        <w:jc w:val="both"/>
        <w:rPr>
          <w:rFonts w:asciiTheme="majorBidi" w:hAnsiTheme="majorBidi" w:cstheme="majorBidi"/>
          <w:b/>
          <w:bCs/>
          <w:lang w:bidi="ar-EG"/>
        </w:rPr>
      </w:pPr>
      <w:r w:rsidRPr="00DA403D">
        <w:rPr>
          <w:rFonts w:asciiTheme="majorBidi" w:hAnsiTheme="majorBidi" w:cstheme="majorBidi"/>
          <w:b/>
          <w:bCs/>
          <w:lang w:bidi="ar-EG"/>
        </w:rPr>
        <w:t>Figure (1):</w:t>
      </w:r>
      <w:r w:rsidRPr="00DA403D">
        <w:rPr>
          <w:rFonts w:asciiTheme="majorBidi" w:hAnsiTheme="majorBidi" w:cstheme="majorBidi"/>
          <w:b/>
          <w:bCs/>
          <w:lang w:bidi="ar-EG"/>
        </w:rPr>
        <w:tab/>
        <w:t xml:space="preserve">Comparison between the studied periods according to K1, K2 and </w:t>
      </w:r>
      <w:proofErr w:type="spellStart"/>
      <w:r w:rsidRPr="00DA403D">
        <w:rPr>
          <w:rFonts w:asciiTheme="majorBidi" w:hAnsiTheme="majorBidi" w:cstheme="majorBidi"/>
          <w:b/>
          <w:bCs/>
          <w:lang w:bidi="ar-EG"/>
        </w:rPr>
        <w:t>Kmax</w:t>
      </w:r>
      <w:proofErr w:type="spellEnd"/>
    </w:p>
    <w:p w:rsidR="00DA403D" w:rsidRPr="00DA403D" w:rsidRDefault="00DA403D" w:rsidP="00DA403D">
      <w:pPr>
        <w:bidi w:val="0"/>
        <w:spacing w:before="120"/>
        <w:ind w:left="284" w:hanging="284"/>
        <w:jc w:val="both"/>
        <w:rPr>
          <w:rFonts w:asciiTheme="majorBidi" w:hAnsiTheme="majorBidi" w:cstheme="majorBidi"/>
        </w:rPr>
      </w:pPr>
      <w:r w:rsidRPr="00DA403D">
        <w:rPr>
          <w:rFonts w:asciiTheme="majorBidi" w:hAnsiTheme="majorBidi" w:cstheme="majorBidi"/>
        </w:rPr>
        <w:t>*: Statistically significant between preoperative and each other period</w:t>
      </w:r>
    </w:p>
    <w:p w:rsidR="00DA403D" w:rsidRPr="00DA403D" w:rsidRDefault="00DA403D" w:rsidP="00DA403D">
      <w:pPr>
        <w:bidi w:val="0"/>
        <w:spacing w:before="200"/>
        <w:ind w:left="1418" w:hanging="1418"/>
        <w:jc w:val="both"/>
        <w:rPr>
          <w:rFonts w:asciiTheme="majorBidi" w:hAnsiTheme="majorBidi" w:cstheme="majorBidi"/>
          <w:b/>
          <w:bCs/>
          <w:lang w:bidi="ar-EG"/>
        </w:rPr>
      </w:pPr>
      <w:r w:rsidRPr="00DA403D">
        <w:rPr>
          <w:rFonts w:asciiTheme="majorBidi" w:hAnsiTheme="majorBidi" w:cstheme="majorBidi"/>
          <w:noProof/>
        </w:rPr>
        <w:drawing>
          <wp:inline distT="0" distB="0" distL="0" distR="0" wp14:anchorId="2B992A3B" wp14:editId="2DF5D215">
            <wp:extent cx="3800475" cy="2380643"/>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3808631" cy="2385752"/>
                    </a:xfrm>
                    <a:prstGeom prst="rect">
                      <a:avLst/>
                    </a:prstGeom>
                    <a:noFill/>
                  </pic:spPr>
                </pic:pic>
              </a:graphicData>
            </a:graphic>
          </wp:inline>
        </w:drawing>
      </w:r>
      <w:r w:rsidRPr="00DA403D">
        <w:rPr>
          <w:rFonts w:asciiTheme="majorBidi" w:hAnsiTheme="majorBidi" w:cstheme="majorBidi"/>
          <w:b/>
          <w:bCs/>
          <w:lang w:bidi="ar-EG"/>
        </w:rPr>
        <w:t xml:space="preserve"> </w:t>
      </w:r>
    </w:p>
    <w:p w:rsidR="00DA403D" w:rsidRPr="00DA403D" w:rsidRDefault="00DA403D" w:rsidP="00DA403D">
      <w:pPr>
        <w:bidi w:val="0"/>
        <w:spacing w:before="200"/>
        <w:ind w:left="1418" w:hanging="1418"/>
        <w:jc w:val="both"/>
        <w:rPr>
          <w:rFonts w:asciiTheme="majorBidi" w:hAnsiTheme="majorBidi" w:cstheme="majorBidi"/>
          <w:b/>
          <w:bCs/>
          <w:lang w:bidi="ar-EG"/>
        </w:rPr>
      </w:pPr>
      <w:r w:rsidRPr="00DA403D">
        <w:rPr>
          <w:rFonts w:asciiTheme="majorBidi" w:hAnsiTheme="majorBidi" w:cstheme="majorBidi"/>
          <w:b/>
          <w:bCs/>
          <w:lang w:bidi="ar-EG"/>
        </w:rPr>
        <w:t>Figure (2):</w:t>
      </w:r>
      <w:r w:rsidRPr="00DA403D">
        <w:rPr>
          <w:rFonts w:asciiTheme="majorBidi" w:hAnsiTheme="majorBidi" w:cstheme="majorBidi"/>
          <w:b/>
          <w:bCs/>
          <w:lang w:bidi="ar-EG"/>
        </w:rPr>
        <w:tab/>
        <w:t>Comparison between the studied periods according to Central corneal thickness (micrometers) and minimum corneal thickness (MCT)</w:t>
      </w:r>
    </w:p>
    <w:p w:rsidR="00DA403D" w:rsidRPr="00DA403D" w:rsidRDefault="00DA403D" w:rsidP="00DA403D">
      <w:pPr>
        <w:bidi w:val="0"/>
        <w:spacing w:before="120"/>
        <w:ind w:left="284" w:hanging="284"/>
        <w:jc w:val="both"/>
        <w:rPr>
          <w:rFonts w:asciiTheme="majorBidi" w:hAnsiTheme="majorBidi" w:cstheme="majorBidi"/>
        </w:rPr>
      </w:pPr>
      <w:r w:rsidRPr="00DA403D">
        <w:rPr>
          <w:rFonts w:asciiTheme="majorBidi" w:hAnsiTheme="majorBidi" w:cstheme="majorBidi"/>
        </w:rPr>
        <w:t>*: Statistically significant between preoperative and each other period</w:t>
      </w:r>
    </w:p>
    <w:p w:rsidR="00DA403D" w:rsidRPr="00DA403D" w:rsidRDefault="00DA403D" w:rsidP="00DA403D">
      <w:pPr>
        <w:bidi w:val="0"/>
        <w:jc w:val="both"/>
      </w:pPr>
    </w:p>
    <w:p w:rsidR="00DA403D" w:rsidRPr="00DA403D" w:rsidRDefault="00DA403D" w:rsidP="00DA403D">
      <w:pPr>
        <w:bidi w:val="0"/>
        <w:jc w:val="both"/>
      </w:pPr>
    </w:p>
    <w:p w:rsidR="00DA403D" w:rsidRPr="00DA403D" w:rsidRDefault="00DA403D" w:rsidP="00DA403D">
      <w:pPr>
        <w:bidi w:val="0"/>
        <w:rPr>
          <w:b/>
          <w:bCs/>
          <w:color w:val="000000"/>
        </w:rPr>
      </w:pPr>
      <w:r w:rsidRPr="00DA403D">
        <w:rPr>
          <w:b/>
          <w:bCs/>
          <w:color w:val="000000"/>
        </w:rPr>
        <w:t>Conclusion</w:t>
      </w:r>
    </w:p>
    <w:p w:rsidR="00DA403D" w:rsidRPr="00DA403D" w:rsidRDefault="00DA403D" w:rsidP="00DA403D">
      <w:pPr>
        <w:tabs>
          <w:tab w:val="left" w:pos="1290"/>
        </w:tabs>
        <w:bidi w:val="0"/>
        <w:jc w:val="both"/>
        <w:rPr>
          <w:b/>
          <w:bCs/>
          <w:color w:val="000000"/>
        </w:rPr>
      </w:pPr>
      <w:r w:rsidRPr="00DA403D">
        <w:rPr>
          <w:rFonts w:asciiTheme="majorBidi" w:hAnsiTheme="majorBidi" w:cstheme="majorBidi"/>
        </w:rPr>
        <w:t>Cross-linking these children at first presentation shows benefits that outweigh risk factors of the procedure. From our point of view, cross-linking all pediatric keratoconus cases seems to be a logical decision taking into consideration that the consequences of the disease could be much more aggressive than the remote possibility of complications of the procedure itself. This is in line with literature regarding complications of cross-linking, especially that almost most reported no major complications.</w:t>
      </w:r>
    </w:p>
    <w:p w:rsidR="00DA403D" w:rsidRPr="00DA403D" w:rsidRDefault="00DA403D" w:rsidP="00DA403D">
      <w:pPr>
        <w:bidi w:val="0"/>
        <w:rPr>
          <w:b/>
          <w:bCs/>
          <w:color w:val="000000"/>
        </w:rPr>
      </w:pPr>
    </w:p>
    <w:p w:rsidR="00DA403D" w:rsidRDefault="00DA403D" w:rsidP="00DA403D">
      <w:pPr>
        <w:bidi w:val="0"/>
        <w:rPr>
          <w:b/>
          <w:bCs/>
          <w:color w:val="000000"/>
        </w:rPr>
      </w:pPr>
      <w:r w:rsidRPr="00DA403D">
        <w:rPr>
          <w:b/>
          <w:bCs/>
          <w:color w:val="000000"/>
        </w:rPr>
        <w:t>References</w:t>
      </w:r>
    </w:p>
    <w:p w:rsidR="001A4E1C" w:rsidRDefault="001A4E1C" w:rsidP="001A4E1C">
      <w:pPr>
        <w:bidi w:val="0"/>
        <w:rPr>
          <w:b/>
          <w:bCs/>
          <w:color w:val="000000"/>
        </w:rPr>
      </w:pPr>
    </w:p>
    <w:p w:rsidR="001A4E1C" w:rsidRPr="00FF0A6D" w:rsidRDefault="001A4E1C" w:rsidP="001A4E1C">
      <w:pPr>
        <w:pStyle w:val="EndNoteBibliography"/>
        <w:numPr>
          <w:ilvl w:val="0"/>
          <w:numId w:val="1"/>
        </w:numPr>
        <w:spacing w:before="200" w:after="0" w:line="336" w:lineRule="auto"/>
        <w:jc w:val="both"/>
        <w:rPr>
          <w:sz w:val="24"/>
          <w:szCs w:val="24"/>
        </w:rPr>
      </w:pPr>
      <w:r w:rsidRPr="00FF0A6D">
        <w:rPr>
          <w:sz w:val="24"/>
          <w:szCs w:val="24"/>
        </w:rPr>
        <w:t>Mukhtar S, Ambati BK. Pediatric keratoconus: a review of the literature. Int Ophthalmol 2018; 38(5):2257-66.</w:t>
      </w:r>
    </w:p>
    <w:p w:rsidR="001A4E1C" w:rsidRPr="00FF0A6D" w:rsidRDefault="001A4E1C" w:rsidP="001A4E1C">
      <w:pPr>
        <w:pStyle w:val="EndNoteBibliography"/>
        <w:numPr>
          <w:ilvl w:val="0"/>
          <w:numId w:val="1"/>
        </w:numPr>
        <w:spacing w:before="200" w:after="0" w:line="360" w:lineRule="auto"/>
        <w:jc w:val="both"/>
        <w:rPr>
          <w:sz w:val="24"/>
          <w:szCs w:val="24"/>
        </w:rPr>
      </w:pPr>
      <w:r w:rsidRPr="00FF0A6D">
        <w:rPr>
          <w:sz w:val="24"/>
          <w:szCs w:val="24"/>
        </w:rPr>
        <w:t>Buzzonetti L, Valente P, Petrocelli G. Keratoconus in Children. In: Alió JL (ed). Keratoconus: Recent Advances in Diagnosis and Treatment. Switzerland: Springer; 2017. 43-52.</w:t>
      </w:r>
    </w:p>
    <w:p w:rsidR="001A4E1C" w:rsidRPr="00FF0A6D" w:rsidRDefault="001A4E1C" w:rsidP="001A4E1C">
      <w:pPr>
        <w:pStyle w:val="EndNoteBibliography"/>
        <w:numPr>
          <w:ilvl w:val="0"/>
          <w:numId w:val="1"/>
        </w:numPr>
        <w:spacing w:before="200" w:after="0" w:line="360" w:lineRule="auto"/>
        <w:jc w:val="both"/>
        <w:rPr>
          <w:sz w:val="24"/>
          <w:szCs w:val="24"/>
        </w:rPr>
      </w:pPr>
      <w:r w:rsidRPr="00FF0A6D">
        <w:rPr>
          <w:sz w:val="24"/>
          <w:szCs w:val="24"/>
        </w:rPr>
        <w:t>Gomes JA, Tan D, Rapuano CJ, Belin MW, Ambrósio R, Guell JL, et al. Global consensus on keratoconus and ectatic diseases. Cornea 2015; 34(4):359-69.</w:t>
      </w:r>
    </w:p>
    <w:p w:rsidR="001A4E1C" w:rsidRPr="00FF0A6D" w:rsidRDefault="001A4E1C" w:rsidP="00FF0A6D">
      <w:pPr>
        <w:pStyle w:val="ListParagraph"/>
        <w:bidi w:val="0"/>
      </w:pPr>
    </w:p>
    <w:sectPr w:rsidR="001A4E1C" w:rsidRPr="00FF0A6D" w:rsidSect="0007551B">
      <w:pgSz w:w="11906" w:h="16838" w:code="9"/>
      <w:pgMar w:top="1701" w:right="1276" w:bottom="1701" w:left="1843" w:header="851" w:footer="851"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912505"/>
    <w:multiLevelType w:val="hybridMultilevel"/>
    <w:tmpl w:val="8DAEC3C8"/>
    <w:lvl w:ilvl="0" w:tplc="785E476C">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38C"/>
    <w:rsid w:val="000550A7"/>
    <w:rsid w:val="0007551B"/>
    <w:rsid w:val="00117416"/>
    <w:rsid w:val="00186E6D"/>
    <w:rsid w:val="001A4E1C"/>
    <w:rsid w:val="001A5DAE"/>
    <w:rsid w:val="0037200C"/>
    <w:rsid w:val="004C5759"/>
    <w:rsid w:val="005846B7"/>
    <w:rsid w:val="00640CE1"/>
    <w:rsid w:val="00650CF1"/>
    <w:rsid w:val="00C1111B"/>
    <w:rsid w:val="00C32F98"/>
    <w:rsid w:val="00DA403D"/>
    <w:rsid w:val="00E7638C"/>
    <w:rsid w:val="00EB77C4"/>
    <w:rsid w:val="00FB3D93"/>
    <w:rsid w:val="00FF0A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48B0D70-D806-A546-BBED-2CC858AE9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38C"/>
    <w:pPr>
      <w:bidi/>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638C"/>
    <w:pPr>
      <w:autoSpaceDE w:val="0"/>
      <w:autoSpaceDN w:val="0"/>
      <w:adjustRightInd w:val="0"/>
    </w:pPr>
    <w:rPr>
      <w:color w:val="000000"/>
      <w:sz w:val="24"/>
      <w:szCs w:val="24"/>
    </w:rPr>
  </w:style>
  <w:style w:type="character" w:styleId="Hyperlink">
    <w:name w:val="Hyperlink"/>
    <w:basedOn w:val="DefaultParagraphFont"/>
    <w:rsid w:val="00E7638C"/>
    <w:rPr>
      <w:color w:val="0000FF"/>
      <w:u w:val="single"/>
    </w:rPr>
  </w:style>
  <w:style w:type="paragraph" w:styleId="ListParagraph">
    <w:name w:val="List Paragraph"/>
    <w:basedOn w:val="Normal"/>
    <w:uiPriority w:val="34"/>
    <w:qFormat/>
    <w:rsid w:val="001A4E1C"/>
    <w:pPr>
      <w:ind w:left="720"/>
      <w:contextualSpacing/>
    </w:pPr>
  </w:style>
  <w:style w:type="paragraph" w:customStyle="1" w:styleId="EndNoteBibliography">
    <w:name w:val="EndNote Bibliography"/>
    <w:basedOn w:val="Normal"/>
    <w:link w:val="EndNoteBibliographyChar"/>
    <w:rsid w:val="001A4E1C"/>
    <w:pPr>
      <w:bidi w:val="0"/>
      <w:spacing w:after="160"/>
    </w:pPr>
    <w:rPr>
      <w:rFonts w:eastAsiaTheme="minorHAnsi"/>
      <w:noProof/>
      <w:sz w:val="28"/>
      <w:szCs w:val="22"/>
    </w:rPr>
  </w:style>
  <w:style w:type="character" w:customStyle="1" w:styleId="EndNoteBibliographyChar">
    <w:name w:val="EndNote Bibliography Char"/>
    <w:basedOn w:val="DefaultParagraphFont"/>
    <w:link w:val="EndNoteBibliography"/>
    <w:rsid w:val="001A4E1C"/>
    <w:rPr>
      <w:rFonts w:eastAsiaTheme="minorHAnsi"/>
      <w:noProof/>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nancyzakaria91@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1163</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7778</CharactersWithSpaces>
  <SharedDoc>false</SharedDoc>
  <HLinks>
    <vt:vector size="6" baseType="variant">
      <vt:variant>
        <vt:i4>1703945</vt:i4>
      </vt:variant>
      <vt:variant>
        <vt:i4>0</vt:i4>
      </vt:variant>
      <vt:variant>
        <vt:i4>0</vt:i4>
      </vt:variant>
      <vt:variant>
        <vt:i4>5</vt:i4>
      </vt:variant>
      <vt:variant>
        <vt:lpwstr>mailto:ahmed_abulnaga2002@yahoo.com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NAGY</dc:creator>
  <cp:keywords/>
  <cp:lastModifiedBy>Nancy</cp:lastModifiedBy>
  <cp:revision>3</cp:revision>
  <dcterms:created xsi:type="dcterms:W3CDTF">2019-11-29T19:04:00Z</dcterms:created>
  <dcterms:modified xsi:type="dcterms:W3CDTF">2019-11-29T19:07:00Z</dcterms:modified>
</cp:coreProperties>
</file>