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57D" w:rsidRPr="003E3E12" w:rsidRDefault="00D4357D" w:rsidP="00D4357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3E12">
        <w:rPr>
          <w:rFonts w:ascii="Times New Roman" w:hAnsi="Times New Roman" w:cs="Times New Roman"/>
          <w:sz w:val="24"/>
          <w:szCs w:val="24"/>
        </w:rPr>
        <w:t>Title :</w:t>
      </w:r>
      <w:r>
        <w:rPr>
          <w:rFonts w:ascii="Times New Roman" w:hAnsi="Times New Roman" w:cs="Times New Roman"/>
          <w:sz w:val="24"/>
          <w:szCs w:val="24"/>
        </w:rPr>
        <w:t>Comparative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analysis of Retinal Nerve </w:t>
      </w:r>
      <w:proofErr w:type="spellStart"/>
      <w:r>
        <w:rPr>
          <w:rFonts w:ascii="Times New Roman" w:hAnsi="Times New Roman" w:cs="Times New Roman"/>
          <w:sz w:val="24"/>
          <w:szCs w:val="24"/>
        </w:rPr>
        <w:t>Fibre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Layer thickness with age matched healthy individuals in Primary Open Angle Glaucoma patients</w:t>
      </w:r>
    </w:p>
    <w:p w:rsidR="00D4357D" w:rsidRPr="003E3E12" w:rsidRDefault="00D4357D" w:rsidP="00D4357D">
      <w:pPr>
        <w:jc w:val="both"/>
        <w:rPr>
          <w:rFonts w:ascii="Times New Roman" w:hAnsi="Times New Roman" w:cs="Times New Roman"/>
          <w:sz w:val="24"/>
          <w:szCs w:val="24"/>
        </w:rPr>
      </w:pPr>
      <w:r w:rsidRPr="003E3E12">
        <w:rPr>
          <w:rFonts w:ascii="Times New Roman" w:hAnsi="Times New Roman" w:cs="Times New Roman"/>
          <w:sz w:val="24"/>
          <w:szCs w:val="24"/>
        </w:rPr>
        <w:t>Statement of the problem: Glaucoma being the second most common global cause of preventable blindness, prevalence of open angle glaucoma (OAG) is expected to be 74% (58.9 million people) in 2020. An efficient method is required for screening and early diagnosis of glaucoma to prevent further progre</w:t>
      </w:r>
      <w:r>
        <w:rPr>
          <w:rFonts w:ascii="Times New Roman" w:hAnsi="Times New Roman" w:cs="Times New Roman"/>
          <w:sz w:val="24"/>
          <w:szCs w:val="24"/>
        </w:rPr>
        <w:t>ssion</w:t>
      </w:r>
      <w:r w:rsidRPr="003E3E12">
        <w:rPr>
          <w:rFonts w:ascii="Times New Roman" w:hAnsi="Times New Roman" w:cs="Times New Roman"/>
          <w:sz w:val="24"/>
          <w:szCs w:val="24"/>
        </w:rPr>
        <w:t>.</w:t>
      </w:r>
    </w:p>
    <w:p w:rsidR="00D4357D" w:rsidRPr="003E3E12" w:rsidRDefault="00D4357D" w:rsidP="00D4357D">
      <w:pPr>
        <w:jc w:val="both"/>
        <w:rPr>
          <w:rFonts w:ascii="Times New Roman" w:hAnsi="Times New Roman" w:cs="Times New Roman"/>
          <w:sz w:val="24"/>
          <w:szCs w:val="24"/>
        </w:rPr>
      </w:pPr>
      <w:r w:rsidRPr="003E3E12">
        <w:rPr>
          <w:rFonts w:ascii="Times New Roman" w:hAnsi="Times New Roman" w:cs="Times New Roman"/>
          <w:sz w:val="24"/>
          <w:szCs w:val="24"/>
        </w:rPr>
        <w:t xml:space="preserve">Methodology and theoretical orientation: Patients of both genders, aged above 40 years, consulting the Ophthalmology out-patient departments in </w:t>
      </w:r>
      <w:proofErr w:type="spellStart"/>
      <w:r w:rsidRPr="003E3E12">
        <w:rPr>
          <w:rFonts w:ascii="Times New Roman" w:hAnsi="Times New Roman" w:cs="Times New Roman"/>
          <w:sz w:val="24"/>
          <w:szCs w:val="24"/>
        </w:rPr>
        <w:t>Bapuji</w:t>
      </w:r>
      <w:proofErr w:type="spellEnd"/>
      <w:r w:rsidRPr="003E3E12">
        <w:rPr>
          <w:rFonts w:ascii="Times New Roman" w:hAnsi="Times New Roman" w:cs="Times New Roman"/>
          <w:sz w:val="24"/>
          <w:szCs w:val="24"/>
        </w:rPr>
        <w:t xml:space="preserve"> Ey</w:t>
      </w:r>
      <w:r>
        <w:rPr>
          <w:rFonts w:ascii="Times New Roman" w:hAnsi="Times New Roman" w:cs="Times New Roman"/>
          <w:sz w:val="24"/>
          <w:szCs w:val="24"/>
        </w:rPr>
        <w:t xml:space="preserve">e Hospital, </w:t>
      </w:r>
      <w:r w:rsidRPr="003E3E12">
        <w:rPr>
          <w:rFonts w:ascii="Times New Roman" w:hAnsi="Times New Roman" w:cs="Times New Roman"/>
          <w:sz w:val="24"/>
          <w:szCs w:val="24"/>
        </w:rPr>
        <w:t xml:space="preserve">JJM Medical College, </w:t>
      </w:r>
      <w:proofErr w:type="spellStart"/>
      <w:r w:rsidRPr="003E3E12">
        <w:rPr>
          <w:rFonts w:ascii="Times New Roman" w:hAnsi="Times New Roman" w:cs="Times New Roman"/>
          <w:sz w:val="24"/>
          <w:szCs w:val="24"/>
        </w:rPr>
        <w:t>Davangere</w:t>
      </w:r>
      <w:proofErr w:type="spellEnd"/>
      <w:r w:rsidRPr="003E3E1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Karnataka,India</w:t>
      </w:r>
      <w:proofErr w:type="spellEnd"/>
      <w:r w:rsidRPr="003E3E12">
        <w:rPr>
          <w:rFonts w:ascii="Times New Roman" w:hAnsi="Times New Roman" w:cs="Times New Roman"/>
          <w:sz w:val="24"/>
          <w:szCs w:val="24"/>
        </w:rPr>
        <w:t xml:space="preserve"> were age-matched with normal individuals and subjected to optic nerve head (ONH) evaluation and retinal nerve </w:t>
      </w:r>
      <w:proofErr w:type="spellStart"/>
      <w:r w:rsidRPr="003E3E12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Pr="003E3E12">
        <w:rPr>
          <w:rFonts w:ascii="Times New Roman" w:hAnsi="Times New Roman" w:cs="Times New Roman"/>
          <w:sz w:val="24"/>
          <w:szCs w:val="24"/>
        </w:rPr>
        <w:t xml:space="preserve"> layer (RNFL) analysis by optical coherence tomography (OCT), between September 2015 and September 2017. The reduction in RNFL thickness and change in cup-disc (C</w:t>
      </w:r>
      <w:proofErr w:type="gramStart"/>
      <w:r w:rsidRPr="003E3E12">
        <w:rPr>
          <w:rFonts w:ascii="Times New Roman" w:hAnsi="Times New Roman" w:cs="Times New Roman"/>
          <w:sz w:val="24"/>
          <w:szCs w:val="24"/>
        </w:rPr>
        <w:t>:D</w:t>
      </w:r>
      <w:proofErr w:type="gramEnd"/>
      <w:r w:rsidRPr="003E3E12">
        <w:rPr>
          <w:rFonts w:ascii="Times New Roman" w:hAnsi="Times New Roman" w:cs="Times New Roman"/>
          <w:sz w:val="24"/>
          <w:szCs w:val="24"/>
        </w:rPr>
        <w:t xml:space="preserve">) ratio were </w:t>
      </w:r>
      <w:proofErr w:type="spellStart"/>
      <w:r w:rsidRPr="003E3E12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3E3E12">
        <w:rPr>
          <w:rFonts w:ascii="Times New Roman" w:hAnsi="Times New Roman" w:cs="Times New Roman"/>
          <w:sz w:val="24"/>
          <w:szCs w:val="24"/>
        </w:rPr>
        <w:t xml:space="preserve"> in both study populations. </w:t>
      </w:r>
    </w:p>
    <w:p w:rsidR="00D4357D" w:rsidRPr="003E3E12" w:rsidRDefault="00D4357D" w:rsidP="00D4357D">
      <w:pPr>
        <w:jc w:val="both"/>
        <w:rPr>
          <w:rFonts w:ascii="Times New Roman" w:hAnsi="Times New Roman" w:cs="Times New Roman"/>
          <w:sz w:val="24"/>
          <w:szCs w:val="24"/>
        </w:rPr>
      </w:pPr>
      <w:r w:rsidRPr="003E3E12">
        <w:rPr>
          <w:rFonts w:ascii="Times New Roman" w:hAnsi="Times New Roman" w:cs="Times New Roman"/>
          <w:sz w:val="24"/>
          <w:szCs w:val="24"/>
        </w:rPr>
        <w:t xml:space="preserve">Findings: Mean </w:t>
      </w:r>
      <w:proofErr w:type="spellStart"/>
      <w:r w:rsidRPr="003E3E12">
        <w:rPr>
          <w:rFonts w:ascii="Times New Roman" w:hAnsi="Times New Roman" w:cs="Times New Roman"/>
          <w:sz w:val="24"/>
          <w:szCs w:val="24"/>
        </w:rPr>
        <w:t>peripapillary</w:t>
      </w:r>
      <w:proofErr w:type="spellEnd"/>
      <w:r w:rsidRPr="003E3E12">
        <w:rPr>
          <w:rFonts w:ascii="Times New Roman" w:hAnsi="Times New Roman" w:cs="Times New Roman"/>
          <w:sz w:val="24"/>
          <w:szCs w:val="24"/>
        </w:rPr>
        <w:t xml:space="preserve"> RNFL thickness was found to be significantly reduced (p&lt;0.05) in all four sectors of patients with primary OAG (POAG) in contrast to healthy individuals. Increased cup-disc ratio was associated with significant reduction (p&lt;0.05) in RNFL thickness in POAG patients, while normal individuals showed no such correlation.</w:t>
      </w:r>
    </w:p>
    <w:p w:rsidR="00D4357D" w:rsidRDefault="00D4357D" w:rsidP="00D4357D">
      <w:pPr>
        <w:jc w:val="both"/>
        <w:rPr>
          <w:rFonts w:ascii="Times New Roman" w:hAnsi="Times New Roman" w:cs="Times New Roman"/>
          <w:sz w:val="24"/>
          <w:szCs w:val="24"/>
        </w:rPr>
      </w:pPr>
      <w:r w:rsidRPr="003E3E12">
        <w:rPr>
          <w:rFonts w:ascii="Times New Roman" w:hAnsi="Times New Roman" w:cs="Times New Roman"/>
          <w:sz w:val="24"/>
          <w:szCs w:val="24"/>
        </w:rPr>
        <w:t xml:space="preserve">Conclusion and significance: </w:t>
      </w:r>
      <w:r>
        <w:rPr>
          <w:rFonts w:ascii="Times New Roman" w:hAnsi="Times New Roman" w:cs="Times New Roman"/>
          <w:sz w:val="24"/>
          <w:szCs w:val="24"/>
        </w:rPr>
        <w:t xml:space="preserve">Studies have proved that structural changes in glaucoma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preceeds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functional changes. </w:t>
      </w:r>
      <w:r w:rsidRPr="003E3E12">
        <w:rPr>
          <w:rFonts w:ascii="Times New Roman" w:hAnsi="Times New Roman" w:cs="Times New Roman"/>
          <w:sz w:val="24"/>
          <w:szCs w:val="24"/>
        </w:rPr>
        <w:t xml:space="preserve">Average and </w:t>
      </w:r>
      <w:proofErr w:type="spellStart"/>
      <w:r w:rsidRPr="003E3E12">
        <w:rPr>
          <w:rFonts w:ascii="Times New Roman" w:hAnsi="Times New Roman" w:cs="Times New Roman"/>
          <w:sz w:val="24"/>
          <w:szCs w:val="24"/>
        </w:rPr>
        <w:t>sectoral</w:t>
      </w:r>
      <w:proofErr w:type="spellEnd"/>
      <w:r w:rsidRPr="003E3E12">
        <w:rPr>
          <w:rFonts w:ascii="Times New Roman" w:hAnsi="Times New Roman" w:cs="Times New Roman"/>
          <w:sz w:val="24"/>
          <w:szCs w:val="24"/>
        </w:rPr>
        <w:t xml:space="preserve"> analysis of RNFL thickness by OCT is beneficial in early detection of glaucoma. In combination with C</w:t>
      </w:r>
      <w:proofErr w:type="gramStart"/>
      <w:r w:rsidRPr="003E3E12">
        <w:rPr>
          <w:rFonts w:ascii="Times New Roman" w:hAnsi="Times New Roman" w:cs="Times New Roman"/>
          <w:sz w:val="24"/>
          <w:szCs w:val="24"/>
        </w:rPr>
        <w:t>:D</w:t>
      </w:r>
      <w:proofErr w:type="gramEnd"/>
      <w:r w:rsidRPr="003E3E12">
        <w:rPr>
          <w:rFonts w:ascii="Times New Roman" w:hAnsi="Times New Roman" w:cs="Times New Roman"/>
          <w:sz w:val="24"/>
          <w:szCs w:val="24"/>
        </w:rPr>
        <w:t xml:space="preserve"> ratio, a better assessment of disease progression and severity can be made.</w:t>
      </w:r>
      <w:r>
        <w:rPr>
          <w:rFonts w:ascii="Times New Roman" w:hAnsi="Times New Roman" w:cs="Times New Roman"/>
          <w:sz w:val="24"/>
          <w:szCs w:val="24"/>
        </w:rPr>
        <w:t xml:space="preserve"> They have a great potential value in delaying and avoiding progression of the disease.</w:t>
      </w:r>
    </w:p>
    <w:p w:rsidR="00D4357D" w:rsidRPr="003E3E12" w:rsidRDefault="00D4357D" w:rsidP="00D435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7F96" w:rsidRDefault="00D4357D"/>
    <w:sectPr w:rsidR="00627F96" w:rsidSect="00EC6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357D"/>
    <w:rsid w:val="001F2B90"/>
    <w:rsid w:val="006C4D2F"/>
    <w:rsid w:val="00D4357D"/>
    <w:rsid w:val="00EC6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COMPUTER4</dc:creator>
  <cp:lastModifiedBy>COMPUTER4</cp:lastModifiedBy>
  <cp:revision>1</cp:revision>
  <dcterms:created xsi:type="dcterms:W3CDTF">2019-07-10T14:19:00Z</dcterms:created>
  <dcterms:modified xsi:type="dcterms:W3CDTF">2019-07-10T14:19:00Z</dcterms:modified>
</cp:coreProperties>
</file>