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240"/>
        <w:jc w:val="both"/>
        <w:rPr>
          <w:rFonts w:asciiTheme="majorBidi" w:hAnsiTheme="majorBidi" w:cstheme="majorBidi"/>
          <w:sz w:val="24"/>
          <w:szCs w:val="24"/>
        </w:rPr>
      </w:pPr>
      <w:r>
        <w:rPr>
          <w:rFonts w:asciiTheme="majorBidi" w:hAnsiTheme="majorBidi" w:cstheme="majorBidi"/>
          <w:sz w:val="24"/>
          <w:szCs w:val="24"/>
        </w:rPr>
        <w:t>Factors affecting immun</w:t>
      </w:r>
      <w:r>
        <w:rPr>
          <w:rFonts w:asciiTheme="majorBidi" w:hAnsiTheme="majorBidi" w:cstheme="majorBidi"/>
          <w:sz w:val="24"/>
          <w:szCs w:val="24"/>
        </w:rPr>
        <w:t>i</w:t>
      </w:r>
      <w:r>
        <w:rPr>
          <w:rFonts w:asciiTheme="majorBidi" w:hAnsiTheme="majorBidi" w:cstheme="majorBidi"/>
          <w:sz w:val="24"/>
          <w:szCs w:val="24"/>
        </w:rPr>
        <w:t>z</w:t>
      </w:r>
      <w:r>
        <w:rPr>
          <w:rFonts w:asciiTheme="majorBidi" w:hAnsiTheme="majorBidi" w:cstheme="majorBidi"/>
          <w:sz w:val="24"/>
          <w:szCs w:val="24"/>
        </w:rPr>
        <w:t>ation</w:t>
      </w:r>
      <w:r>
        <w:rPr>
          <w:rFonts w:asciiTheme="majorBidi" w:hAnsiTheme="majorBidi" w:cstheme="majorBidi"/>
          <w:sz w:val="24"/>
          <w:szCs w:val="24"/>
        </w:rPr>
        <w:t xml:space="preserve"> coverage among children aged 12_35 months in Kassala locality, Sudan 2018</w:t>
      </w:r>
    </w:p>
    <w:p>
      <w:pPr>
        <w:pStyle w:val="style0"/>
        <w:spacing w:lineRule="auto" w:line="240"/>
        <w:jc w:val="both"/>
        <w:rPr>
          <w:rFonts w:asciiTheme="majorBidi" w:hAnsiTheme="majorBidi" w:cstheme="majorBidi"/>
          <w:sz w:val="24"/>
          <w:szCs w:val="24"/>
        </w:rPr>
      </w:pPr>
    </w:p>
    <w:p>
      <w:pPr>
        <w:pStyle w:val="style0"/>
        <w:spacing w:lineRule="auto" w:line="240"/>
        <w:jc w:val="both"/>
        <w:rPr>
          <w:rFonts w:asciiTheme="majorBidi" w:hAnsiTheme="majorBidi" w:cstheme="majorBidi"/>
          <w:sz w:val="24"/>
          <w:szCs w:val="24"/>
        </w:rPr>
      </w:pPr>
      <w:r>
        <w:rPr>
          <w:rFonts w:asciiTheme="majorBidi" w:hAnsiTheme="majorBidi" w:cstheme="majorBidi"/>
          <w:sz w:val="24"/>
          <w:szCs w:val="24"/>
        </w:rPr>
        <w:t>Objectives:</w:t>
      </w:r>
      <w:r>
        <w:rPr>
          <w:rFonts w:asciiTheme="majorBidi" w:hAnsiTheme="majorBidi" w:cstheme="majorBidi"/>
          <w:sz w:val="24"/>
          <w:szCs w:val="24"/>
        </w:rPr>
        <w:t xml:space="preserve"> Immunization remains one of the most important public health interventions and cost effective strategies to reduce child mortality and morbidity associated with </w:t>
      </w:r>
      <w:bookmarkStart w:id="0" w:name="_GoBack"/>
      <w:r>
        <w:rPr>
          <w:rFonts w:asciiTheme="majorBidi" w:hAnsiTheme="majorBidi" w:cstheme="majorBidi"/>
          <w:sz w:val="24"/>
          <w:szCs w:val="24"/>
        </w:rPr>
        <w:t xml:space="preserve">infectious diseases. The aim was to assess immunization coverage and </w:t>
      </w:r>
      <w:r>
        <w:rPr>
          <w:rFonts w:asciiTheme="majorBidi" w:hAnsiTheme="majorBidi" w:cstheme="majorBidi"/>
          <w:sz w:val="24"/>
          <w:szCs w:val="24"/>
        </w:rPr>
        <w:t xml:space="preserve">to determine </w:t>
      </w:r>
      <w:r>
        <w:rPr>
          <w:rFonts w:asciiTheme="majorBidi" w:hAnsiTheme="majorBidi" w:cstheme="majorBidi"/>
          <w:sz w:val="24"/>
          <w:szCs w:val="24"/>
        </w:rPr>
        <w:t xml:space="preserve">the </w:t>
      </w:r>
      <w:bookmarkEnd w:id="0"/>
      <w:r>
        <w:rPr>
          <w:rFonts w:asciiTheme="majorBidi" w:hAnsiTheme="majorBidi" w:cstheme="majorBidi"/>
          <w:sz w:val="24"/>
          <w:szCs w:val="24"/>
        </w:rPr>
        <w:t>factors affecting it among children aged 12 to 35 mo</w:t>
      </w:r>
      <w:r>
        <w:rPr>
          <w:rFonts w:asciiTheme="majorBidi" w:hAnsiTheme="majorBidi" w:cstheme="majorBidi"/>
          <w:sz w:val="24"/>
          <w:szCs w:val="24"/>
        </w:rPr>
        <w:t xml:space="preserve">nths </w:t>
      </w:r>
    </w:p>
    <w:p>
      <w:pPr>
        <w:pStyle w:val="style0"/>
        <w:spacing w:lineRule="auto" w:line="240"/>
        <w:jc w:val="both"/>
        <w:rPr>
          <w:rFonts w:asciiTheme="majorBidi" w:hAnsiTheme="majorBidi" w:cstheme="majorBidi"/>
          <w:sz w:val="24"/>
          <w:szCs w:val="24"/>
        </w:rPr>
      </w:pPr>
      <w:r>
        <w:rPr>
          <w:rFonts w:asciiTheme="majorBidi" w:hAnsiTheme="majorBidi" w:cstheme="majorBidi"/>
          <w:sz w:val="24"/>
          <w:szCs w:val="24"/>
        </w:rPr>
        <w:t>Study design:</w:t>
      </w:r>
      <w:r>
        <w:rPr>
          <w:rFonts w:asciiTheme="majorBidi" w:hAnsiTheme="majorBidi" w:cstheme="majorBidi"/>
          <w:sz w:val="24"/>
          <w:szCs w:val="24"/>
        </w:rPr>
        <w:t xml:space="preserve"> </w:t>
      </w:r>
      <w:r>
        <w:rPr>
          <w:rFonts w:asciiTheme="majorBidi" w:hAnsiTheme="majorBidi" w:cstheme="majorBidi"/>
          <w:sz w:val="24"/>
          <w:szCs w:val="24"/>
        </w:rPr>
        <w:t>D</w:t>
      </w:r>
      <w:r>
        <w:rPr>
          <w:rFonts w:asciiTheme="majorBidi" w:hAnsiTheme="majorBidi" w:cstheme="majorBidi"/>
          <w:sz w:val="24"/>
          <w:szCs w:val="24"/>
        </w:rPr>
        <w:t>escriptive cross-s</w:t>
      </w:r>
      <w:r>
        <w:rPr>
          <w:rFonts w:asciiTheme="majorBidi" w:hAnsiTheme="majorBidi" w:cstheme="majorBidi"/>
          <w:sz w:val="24"/>
          <w:szCs w:val="24"/>
        </w:rPr>
        <w:t>ectional community based survey</w:t>
      </w:r>
    </w:p>
    <w:p>
      <w:pPr>
        <w:pStyle w:val="style0"/>
        <w:spacing w:lineRule="auto" w:line="240"/>
        <w:jc w:val="both"/>
        <w:rPr>
          <w:rFonts w:asciiTheme="majorBidi" w:hAnsiTheme="majorBidi" w:cstheme="majorBidi"/>
          <w:sz w:val="24"/>
          <w:szCs w:val="24"/>
        </w:rPr>
      </w:pPr>
      <w:r>
        <w:rPr>
          <w:rFonts w:asciiTheme="majorBidi" w:hAnsiTheme="majorBidi" w:cstheme="majorBidi"/>
          <w:sz w:val="24"/>
          <w:szCs w:val="24"/>
        </w:rPr>
        <w:t xml:space="preserve">Methods:  </w:t>
      </w:r>
      <w:r>
        <w:rPr>
          <w:rFonts w:asciiTheme="majorBidi" w:hAnsiTheme="majorBidi" w:cstheme="majorBidi"/>
          <w:sz w:val="24"/>
          <w:szCs w:val="24"/>
        </w:rPr>
        <w:t>Data were collected by using a pre-tested, interviewer administered questionnaire.</w:t>
      </w:r>
      <w:r>
        <w:rPr>
          <w:rFonts w:asciiTheme="majorBidi" w:hAnsiTheme="majorBidi" w:cstheme="majorBidi"/>
          <w:sz w:val="24"/>
          <w:szCs w:val="24"/>
        </w:rPr>
        <w:t xml:space="preserve"> A</w:t>
      </w:r>
      <w:r>
        <w:rPr>
          <w:rFonts w:asciiTheme="majorBidi" w:hAnsiTheme="majorBidi" w:cstheme="majorBidi"/>
          <w:sz w:val="24"/>
          <w:szCs w:val="24"/>
        </w:rPr>
        <w:t xml:space="preserve"> modified World Health Organization-Expanded Program on Immunization cluster sampling methods we</w:t>
      </w:r>
      <w:r>
        <w:rPr>
          <w:rFonts w:asciiTheme="majorBidi" w:hAnsiTheme="majorBidi" w:cstheme="majorBidi"/>
          <w:sz w:val="24"/>
          <w:szCs w:val="24"/>
        </w:rPr>
        <w:t>re used for household selection</w:t>
      </w:r>
      <w:r>
        <w:rPr>
          <w:rFonts w:asciiTheme="majorBidi" w:hAnsiTheme="majorBidi" w:cstheme="majorBidi"/>
          <w:sz w:val="24"/>
          <w:szCs w:val="24"/>
        </w:rPr>
        <w:t xml:space="preserve"> A total 347 children aged 12 to 35 mon</w:t>
      </w:r>
      <w:r>
        <w:rPr>
          <w:rFonts w:asciiTheme="majorBidi" w:hAnsiTheme="majorBidi" w:cstheme="majorBidi"/>
          <w:sz w:val="24"/>
          <w:szCs w:val="24"/>
        </w:rPr>
        <w:t xml:space="preserve">ths were included in the study </w:t>
      </w:r>
      <w:r>
        <w:rPr>
          <w:rFonts w:asciiTheme="majorBidi" w:hAnsiTheme="majorBidi" w:cstheme="majorBidi"/>
          <w:sz w:val="24"/>
          <w:szCs w:val="24"/>
        </w:rPr>
        <w:t>Bivariate analysis was employed to identify factors associated with full immunization coverage and multiple binary logistic regression analysis was performed for those factors that showed statistically significant association in bivariate analysis</w:t>
      </w:r>
    </w:p>
    <w:p>
      <w:pPr>
        <w:pStyle w:val="style0"/>
        <w:spacing w:lineRule="auto" w:line="240"/>
        <w:jc w:val="both"/>
        <w:rPr>
          <w:rFonts w:asciiTheme="majorBidi" w:hAnsiTheme="majorBidi" w:cstheme="majorBidi"/>
          <w:sz w:val="24"/>
          <w:szCs w:val="24"/>
        </w:rPr>
      </w:pPr>
      <w:r>
        <w:rPr>
          <w:rFonts w:asciiTheme="majorBidi" w:hAnsiTheme="majorBidi" w:cstheme="majorBidi"/>
          <w:sz w:val="24"/>
          <w:szCs w:val="24"/>
        </w:rPr>
        <w:t>Results: Number</w:t>
      </w:r>
      <w:r>
        <w:rPr>
          <w:rFonts w:asciiTheme="majorBidi" w:hAnsiTheme="majorBidi" w:cstheme="majorBidi"/>
          <w:sz w:val="24"/>
          <w:szCs w:val="24"/>
        </w:rPr>
        <w:t xml:space="preserve"> of fully immunized children was 277(79.8%) according to mother recall. 205(59.1%) were fully vaccinated according to vaccination </w:t>
      </w:r>
      <w:r>
        <w:rPr>
          <w:rFonts w:asciiTheme="majorBidi" w:hAnsiTheme="majorBidi" w:cstheme="majorBidi"/>
          <w:sz w:val="24"/>
          <w:szCs w:val="24"/>
        </w:rPr>
        <w:t>cards.</w:t>
      </w:r>
      <w:r>
        <w:rPr>
          <w:rFonts w:asciiTheme="majorBidi" w:hAnsiTheme="majorBidi" w:cstheme="majorBidi"/>
          <w:sz w:val="24"/>
          <w:szCs w:val="24"/>
        </w:rPr>
        <w:t xml:space="preserve"> factors significantly associated with vaccination status of children were: age of the child in </w:t>
      </w:r>
      <w:r>
        <w:rPr>
          <w:rFonts w:asciiTheme="majorBidi" w:hAnsiTheme="majorBidi" w:cstheme="majorBidi"/>
          <w:sz w:val="24"/>
          <w:szCs w:val="24"/>
        </w:rPr>
        <w:t>months, available</w:t>
      </w:r>
      <w:r>
        <w:rPr>
          <w:rFonts w:asciiTheme="majorBidi" w:hAnsiTheme="majorBidi" w:cstheme="majorBidi"/>
          <w:sz w:val="24"/>
          <w:szCs w:val="24"/>
        </w:rPr>
        <w:t xml:space="preserve"> vaccination center, walking time to the nearest vaccination center less than 30 minutes and source of information about vaccination date by family members/friends/ neighbo</w:t>
      </w:r>
      <w:r>
        <w:rPr>
          <w:rFonts w:asciiTheme="majorBidi" w:hAnsiTheme="majorBidi" w:cstheme="majorBidi"/>
          <w:sz w:val="24"/>
          <w:szCs w:val="24"/>
        </w:rPr>
        <w:t xml:space="preserve">rs </w:t>
      </w:r>
    </w:p>
    <w:p>
      <w:pPr>
        <w:pStyle w:val="style0"/>
        <w:spacing w:lineRule="auto" w:line="240"/>
        <w:jc w:val="both"/>
        <w:rPr>
          <w:rFonts w:asciiTheme="majorBidi" w:hAnsiTheme="majorBidi" w:cstheme="majorBidi"/>
          <w:sz w:val="24"/>
          <w:szCs w:val="24"/>
        </w:rPr>
      </w:pPr>
      <w:r>
        <w:rPr>
          <w:rFonts w:asciiTheme="majorBidi" w:hAnsiTheme="majorBidi" w:cstheme="majorBidi"/>
          <w:sz w:val="24"/>
          <w:szCs w:val="24"/>
        </w:rPr>
        <w:t xml:space="preserve">Conclusions: </w:t>
      </w:r>
      <w:r>
        <w:rPr>
          <w:rFonts w:asciiTheme="majorBidi" w:hAnsiTheme="majorBidi" w:cstheme="majorBidi"/>
          <w:sz w:val="24"/>
          <w:szCs w:val="24"/>
        </w:rPr>
        <w:t>immunization</w:t>
      </w:r>
      <w:r>
        <w:rPr>
          <w:rFonts w:asciiTheme="majorBidi" w:hAnsiTheme="majorBidi" w:cstheme="majorBidi"/>
          <w:sz w:val="24"/>
          <w:szCs w:val="24"/>
        </w:rPr>
        <w:t xml:space="preserve"> is still low despite improvement. Age of child, availability of vaccination center and accessibility in terms of walking time in minutes, and information about vaccination date, were the major predictors</w:t>
      </w:r>
      <w:r>
        <w:rPr>
          <w:rFonts w:asciiTheme="majorBidi" w:hAnsiTheme="majorBidi" w:cstheme="majorBidi"/>
          <w:sz w:val="24"/>
          <w:szCs w:val="24"/>
        </w:rPr>
        <w:t xml:space="preserve"> of children vaccination status</w:t>
      </w:r>
    </w:p>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Words>235</Words>
  <Characters>1489</Characters>
  <Application>Kingsoft Office Writer</Application>
  <DocSecurity>0</DocSecurity>
  <Paragraphs>8</Paragraphs>
  <ScaleCrop>false</ScaleCrop>
  <Company>HP</Company>
  <LinksUpToDate>false</LinksUpToDate>
  <CharactersWithSpaces>1721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٢٠١٩-٠٣-٠٧T١٦:٥٧:٠٠Z</dcterms:created>
  <dc:creator>m</dc:creator>
  <lastModifiedBy>Kingsoft Office</lastModifiedBy>
  <dcterms:modified xsi:type="dcterms:W3CDTF">٢٠١٩-٠٣-١٠T٠٨:٤٨:٤٥Z</dcterms:modified>
  <revision>3</revision>
</coreProperties>
</file>