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FEB" w:rsidRPr="00486FEB" w:rsidRDefault="00486FEB">
      <w:pPr>
        <w:rPr>
          <w:sz w:val="24"/>
          <w:szCs w:val="24"/>
        </w:rPr>
      </w:pPr>
    </w:p>
    <w:p w:rsidR="00486FEB" w:rsidRPr="00486FEB" w:rsidRDefault="00486FEB" w:rsidP="00486FEB">
      <w:pPr>
        <w:jc w:val="center"/>
        <w:rPr>
          <w:b/>
          <w:sz w:val="24"/>
          <w:szCs w:val="24"/>
          <w:u w:val="single"/>
        </w:rPr>
      </w:pPr>
      <w:r w:rsidRPr="00486FEB">
        <w:rPr>
          <w:b/>
          <w:sz w:val="24"/>
          <w:szCs w:val="24"/>
          <w:u w:val="single"/>
        </w:rPr>
        <w:t>Prevention of perioperative stroke during carotid endarterectomy</w:t>
      </w:r>
      <w:r w:rsidR="00CC6C26">
        <w:rPr>
          <w:b/>
          <w:sz w:val="24"/>
          <w:szCs w:val="24"/>
          <w:u w:val="single"/>
        </w:rPr>
        <w:t>: Anesthesiologist perspective</w:t>
      </w:r>
    </w:p>
    <w:p w:rsidR="00486FEB" w:rsidRDefault="00486FEB" w:rsidP="00486FEB">
      <w:pPr>
        <w:rPr>
          <w:b/>
          <w:sz w:val="24"/>
          <w:szCs w:val="24"/>
        </w:rPr>
      </w:pPr>
      <w:r w:rsidRPr="00486FEB">
        <w:rPr>
          <w:b/>
          <w:sz w:val="24"/>
          <w:szCs w:val="24"/>
        </w:rPr>
        <w:t xml:space="preserve">Identify the risk factors for perioperative stroke during carotid </w:t>
      </w:r>
      <w:r w:rsidR="003F0899" w:rsidRPr="00486FEB">
        <w:rPr>
          <w:b/>
          <w:sz w:val="24"/>
          <w:szCs w:val="24"/>
        </w:rPr>
        <w:t>endarterectomy</w:t>
      </w:r>
      <w:r w:rsidR="003F0899">
        <w:rPr>
          <w:b/>
          <w:sz w:val="24"/>
          <w:szCs w:val="24"/>
        </w:rPr>
        <w:t xml:space="preserve"> (</w:t>
      </w:r>
      <w:r>
        <w:rPr>
          <w:b/>
          <w:sz w:val="24"/>
          <w:szCs w:val="24"/>
        </w:rPr>
        <w:t>CEA)</w:t>
      </w:r>
      <w:r w:rsidRPr="00486FEB">
        <w:rPr>
          <w:b/>
          <w:sz w:val="24"/>
          <w:szCs w:val="24"/>
        </w:rPr>
        <w:t>:</w:t>
      </w:r>
    </w:p>
    <w:p w:rsidR="00486FEB" w:rsidRPr="00AF0160" w:rsidRDefault="00486FEB" w:rsidP="00486FEB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AF0160">
        <w:rPr>
          <w:sz w:val="24"/>
          <w:szCs w:val="24"/>
        </w:rPr>
        <w:t xml:space="preserve">Symptomatic patients: review of incidence of 30 day stroke and </w:t>
      </w:r>
      <w:r w:rsidR="00E335A1" w:rsidRPr="00AF0160">
        <w:rPr>
          <w:sz w:val="24"/>
          <w:szCs w:val="24"/>
        </w:rPr>
        <w:t>mortality phase</w:t>
      </w:r>
      <w:r w:rsidRPr="00AF0160">
        <w:rPr>
          <w:sz w:val="24"/>
          <w:szCs w:val="24"/>
        </w:rPr>
        <w:t xml:space="preserve"> 3 trials of symptomatic and asymptomat</w:t>
      </w:r>
      <w:r w:rsidR="00E335A1" w:rsidRPr="00AF0160">
        <w:rPr>
          <w:sz w:val="24"/>
          <w:szCs w:val="24"/>
        </w:rPr>
        <w:t>ic</w:t>
      </w:r>
      <w:r w:rsidR="00CC6C26" w:rsidRPr="00AF0160">
        <w:rPr>
          <w:sz w:val="24"/>
          <w:szCs w:val="24"/>
        </w:rPr>
        <w:t xml:space="preserve"> carotid artery surgery</w:t>
      </w:r>
      <w:r w:rsidR="00E335A1" w:rsidRPr="00AF0160">
        <w:rPr>
          <w:sz w:val="24"/>
          <w:szCs w:val="24"/>
        </w:rPr>
        <w:t xml:space="preserve"> trials and  current literature update</w:t>
      </w:r>
    </w:p>
    <w:p w:rsidR="00486FEB" w:rsidRPr="00AF0160" w:rsidRDefault="00486FEB" w:rsidP="00486FEB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AF0160">
        <w:rPr>
          <w:sz w:val="24"/>
          <w:szCs w:val="24"/>
        </w:rPr>
        <w:t>Presence of contralateral stenosis( review of prospective and retrospective data)</w:t>
      </w:r>
    </w:p>
    <w:p w:rsidR="00486FEB" w:rsidRPr="00AF0160" w:rsidRDefault="00486FEB" w:rsidP="00486FEB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AF0160">
        <w:rPr>
          <w:sz w:val="24"/>
          <w:szCs w:val="24"/>
        </w:rPr>
        <w:t>Hypertension ( review of literature)</w:t>
      </w:r>
    </w:p>
    <w:p w:rsidR="00486FEB" w:rsidRPr="00AF0160" w:rsidRDefault="00486FEB" w:rsidP="00486FEB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AF0160">
        <w:rPr>
          <w:sz w:val="24"/>
          <w:szCs w:val="24"/>
        </w:rPr>
        <w:t>Hyperglycemia with brief literature review</w:t>
      </w:r>
    </w:p>
    <w:p w:rsidR="00486FEB" w:rsidRPr="00AF0160" w:rsidRDefault="00486FEB" w:rsidP="00486FEB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AF0160">
        <w:rPr>
          <w:sz w:val="24"/>
          <w:szCs w:val="24"/>
        </w:rPr>
        <w:t>Presence of ulcerated plaque with data analysis</w:t>
      </w:r>
    </w:p>
    <w:p w:rsidR="00E335A1" w:rsidRPr="00AF0160" w:rsidRDefault="00E335A1" w:rsidP="00486FEB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AF0160">
        <w:rPr>
          <w:sz w:val="24"/>
          <w:szCs w:val="24"/>
        </w:rPr>
        <w:t>Emergency CEA and the risk of stroke</w:t>
      </w:r>
      <w:r w:rsidR="003F0899">
        <w:rPr>
          <w:sz w:val="24"/>
          <w:szCs w:val="24"/>
        </w:rPr>
        <w:t>, literature update</w:t>
      </w:r>
    </w:p>
    <w:p w:rsidR="00E335A1" w:rsidRPr="00E335A1" w:rsidRDefault="00486FEB" w:rsidP="00E335A1">
      <w:pPr>
        <w:rPr>
          <w:b/>
          <w:sz w:val="24"/>
          <w:szCs w:val="24"/>
          <w:u w:val="single"/>
        </w:rPr>
      </w:pPr>
      <w:r w:rsidRPr="00E335A1">
        <w:rPr>
          <w:b/>
          <w:sz w:val="24"/>
          <w:szCs w:val="24"/>
          <w:u w:val="single"/>
        </w:rPr>
        <w:t xml:space="preserve">Early surgery vs. late surgery after embolic stroke or transient ischemic attack </w:t>
      </w:r>
      <w:r w:rsidR="00E335A1" w:rsidRPr="00E335A1">
        <w:rPr>
          <w:b/>
          <w:sz w:val="24"/>
          <w:szCs w:val="24"/>
          <w:u w:val="single"/>
        </w:rPr>
        <w:t>(TIA):</w:t>
      </w:r>
    </w:p>
    <w:p w:rsidR="00486FEB" w:rsidRDefault="00E335A1" w:rsidP="00486FEB">
      <w:pPr>
        <w:rPr>
          <w:sz w:val="24"/>
          <w:szCs w:val="24"/>
        </w:rPr>
      </w:pPr>
      <w:r w:rsidRPr="00E335A1">
        <w:rPr>
          <w:sz w:val="24"/>
          <w:szCs w:val="24"/>
        </w:rPr>
        <w:t>R</w:t>
      </w:r>
      <w:r w:rsidR="00486FEB" w:rsidRPr="00E335A1">
        <w:rPr>
          <w:sz w:val="24"/>
          <w:szCs w:val="24"/>
        </w:rPr>
        <w:t>eview of the literature</w:t>
      </w:r>
      <w:r>
        <w:rPr>
          <w:sz w:val="24"/>
          <w:szCs w:val="24"/>
        </w:rPr>
        <w:t>: s</w:t>
      </w:r>
      <w:r w:rsidRPr="00E335A1">
        <w:rPr>
          <w:sz w:val="24"/>
          <w:szCs w:val="24"/>
        </w:rPr>
        <w:t>urgery beyond 48 hours and within one month in symptomatic patients</w:t>
      </w:r>
    </w:p>
    <w:p w:rsidR="00E335A1" w:rsidRPr="00E335A1" w:rsidRDefault="00E335A1" w:rsidP="00486FEB">
      <w:pPr>
        <w:rPr>
          <w:b/>
          <w:sz w:val="24"/>
          <w:szCs w:val="24"/>
          <w:u w:val="single"/>
        </w:rPr>
      </w:pPr>
      <w:r w:rsidRPr="00E335A1">
        <w:rPr>
          <w:b/>
          <w:sz w:val="24"/>
          <w:szCs w:val="24"/>
          <w:u w:val="single"/>
        </w:rPr>
        <w:t>CEA in a patient who requires coronary artery bypass grafting (CABG):</w:t>
      </w:r>
    </w:p>
    <w:p w:rsidR="00E335A1" w:rsidRDefault="00E335A1" w:rsidP="00E335A1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Prior CEA vs combined CEA and CABG: Review of the current literature</w:t>
      </w:r>
    </w:p>
    <w:p w:rsidR="00CC6C26" w:rsidRPr="00CC6C26" w:rsidRDefault="00E335A1" w:rsidP="00CC6C26">
      <w:pPr>
        <w:rPr>
          <w:b/>
          <w:sz w:val="24"/>
          <w:szCs w:val="24"/>
          <w:u w:val="single"/>
        </w:rPr>
      </w:pPr>
      <w:r w:rsidRPr="00E335A1">
        <w:rPr>
          <w:b/>
          <w:sz w:val="24"/>
          <w:szCs w:val="24"/>
          <w:u w:val="single"/>
        </w:rPr>
        <w:t>CEA in patient who needs clipping of</w:t>
      </w:r>
      <w:r w:rsidR="00CC6C26">
        <w:rPr>
          <w:b/>
          <w:sz w:val="24"/>
          <w:szCs w:val="24"/>
          <w:u w:val="single"/>
        </w:rPr>
        <w:t xml:space="preserve"> intracranial </w:t>
      </w:r>
      <w:r w:rsidR="00CC6C26" w:rsidRPr="00E335A1">
        <w:rPr>
          <w:b/>
          <w:sz w:val="24"/>
          <w:szCs w:val="24"/>
          <w:u w:val="single"/>
        </w:rPr>
        <w:t>aneurysm</w:t>
      </w:r>
      <w:r w:rsidRPr="00E335A1">
        <w:rPr>
          <w:b/>
          <w:sz w:val="24"/>
          <w:szCs w:val="24"/>
          <w:u w:val="single"/>
        </w:rPr>
        <w:t>:</w:t>
      </w:r>
    </w:p>
    <w:p w:rsidR="00E335A1" w:rsidRPr="00CC6C26" w:rsidRDefault="00CC6C26" w:rsidP="00CC6C26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CC6C26">
        <w:rPr>
          <w:sz w:val="24"/>
          <w:szCs w:val="24"/>
        </w:rPr>
        <w:t xml:space="preserve">Describe the reason for increased risk </w:t>
      </w:r>
      <w:r w:rsidR="003F0899" w:rsidRPr="00CC6C26">
        <w:rPr>
          <w:sz w:val="24"/>
          <w:szCs w:val="24"/>
        </w:rPr>
        <w:t>of</w:t>
      </w:r>
      <w:r w:rsidR="003F0899">
        <w:rPr>
          <w:sz w:val="24"/>
          <w:szCs w:val="24"/>
        </w:rPr>
        <w:t xml:space="preserve"> </w:t>
      </w:r>
      <w:r w:rsidR="003F0899" w:rsidRPr="00CC6C26">
        <w:rPr>
          <w:sz w:val="24"/>
          <w:szCs w:val="24"/>
        </w:rPr>
        <w:t>ischemic</w:t>
      </w:r>
      <w:r w:rsidRPr="00CC6C26">
        <w:rPr>
          <w:sz w:val="24"/>
          <w:szCs w:val="24"/>
        </w:rPr>
        <w:t xml:space="preserve"> stroke with clipping of intracranial aneurysm in a patient with ipsilateral carotid artery stenosis.</w:t>
      </w:r>
    </w:p>
    <w:p w:rsidR="00CC6C26" w:rsidRPr="003F0899" w:rsidRDefault="00CC6C26" w:rsidP="003F0899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CC6C26">
        <w:rPr>
          <w:sz w:val="24"/>
          <w:szCs w:val="24"/>
        </w:rPr>
        <w:t xml:space="preserve">Reason for increased risk of hemorrhagic stroke in </w:t>
      </w:r>
      <w:r w:rsidR="003F0899">
        <w:rPr>
          <w:sz w:val="24"/>
          <w:szCs w:val="24"/>
        </w:rPr>
        <w:t xml:space="preserve">a </w:t>
      </w:r>
      <w:r w:rsidRPr="003F0899">
        <w:rPr>
          <w:sz w:val="24"/>
          <w:szCs w:val="24"/>
        </w:rPr>
        <w:t xml:space="preserve">patient following </w:t>
      </w:r>
      <w:r w:rsidR="003F0899" w:rsidRPr="003F0899">
        <w:rPr>
          <w:sz w:val="24"/>
          <w:szCs w:val="24"/>
        </w:rPr>
        <w:t>unclamping</w:t>
      </w:r>
      <w:r w:rsidRPr="003F0899">
        <w:rPr>
          <w:sz w:val="24"/>
          <w:szCs w:val="24"/>
        </w:rPr>
        <w:t xml:space="preserve"> during CEA procedure</w:t>
      </w:r>
    </w:p>
    <w:p w:rsidR="00CC6C26" w:rsidRPr="003F0899" w:rsidRDefault="00CC6C26" w:rsidP="003F0899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CC6C26">
        <w:rPr>
          <w:sz w:val="24"/>
          <w:szCs w:val="24"/>
        </w:rPr>
        <w:t>W</w:t>
      </w:r>
      <w:r w:rsidR="003F0899">
        <w:rPr>
          <w:sz w:val="24"/>
          <w:szCs w:val="24"/>
        </w:rPr>
        <w:t xml:space="preserve">hich should </w:t>
      </w:r>
      <w:proofErr w:type="gramStart"/>
      <w:r w:rsidR="003F0899">
        <w:rPr>
          <w:sz w:val="24"/>
          <w:szCs w:val="24"/>
        </w:rPr>
        <w:t>done</w:t>
      </w:r>
      <w:proofErr w:type="gramEnd"/>
      <w:r w:rsidR="003F0899">
        <w:rPr>
          <w:sz w:val="24"/>
          <w:szCs w:val="24"/>
        </w:rPr>
        <w:t xml:space="preserve"> first, CEA or c</w:t>
      </w:r>
      <w:r w:rsidRPr="003F0899">
        <w:rPr>
          <w:sz w:val="24"/>
          <w:szCs w:val="24"/>
        </w:rPr>
        <w:t>lipping of aneurysm? Review of the current literature</w:t>
      </w:r>
    </w:p>
    <w:p w:rsidR="00CC6C26" w:rsidRPr="00AF0160" w:rsidRDefault="00CC6C26" w:rsidP="00CC6C26">
      <w:pPr>
        <w:rPr>
          <w:b/>
          <w:sz w:val="24"/>
          <w:szCs w:val="24"/>
          <w:u w:val="single"/>
        </w:rPr>
      </w:pPr>
      <w:r w:rsidRPr="00AF0160">
        <w:rPr>
          <w:b/>
          <w:sz w:val="24"/>
          <w:szCs w:val="24"/>
          <w:u w:val="single"/>
        </w:rPr>
        <w:t>Anesthesia for CEA</w:t>
      </w:r>
    </w:p>
    <w:p w:rsidR="00CC6C26" w:rsidRPr="00AF0160" w:rsidRDefault="00CC6C26" w:rsidP="00CC6C26">
      <w:pPr>
        <w:rPr>
          <w:sz w:val="24"/>
          <w:szCs w:val="24"/>
        </w:rPr>
      </w:pPr>
      <w:r w:rsidRPr="00AF0160">
        <w:rPr>
          <w:sz w:val="24"/>
          <w:szCs w:val="24"/>
        </w:rPr>
        <w:t xml:space="preserve">Regional vs General </w:t>
      </w:r>
      <w:r w:rsidR="00AF0160" w:rsidRPr="00AF0160">
        <w:rPr>
          <w:sz w:val="24"/>
          <w:szCs w:val="24"/>
        </w:rPr>
        <w:t>anesthesia (</w:t>
      </w:r>
      <w:r w:rsidR="00FF4882" w:rsidRPr="00AF0160">
        <w:rPr>
          <w:sz w:val="24"/>
          <w:szCs w:val="24"/>
        </w:rPr>
        <w:t>GA)</w:t>
      </w:r>
      <w:r w:rsidRPr="00AF0160">
        <w:rPr>
          <w:sz w:val="24"/>
          <w:szCs w:val="24"/>
        </w:rPr>
        <w:t xml:space="preserve">: Review of GALA trial and Cochrane systemic </w:t>
      </w:r>
      <w:proofErr w:type="gramStart"/>
      <w:r w:rsidRPr="00AF0160">
        <w:rPr>
          <w:sz w:val="24"/>
          <w:szCs w:val="24"/>
        </w:rPr>
        <w:t>review  with</w:t>
      </w:r>
      <w:proofErr w:type="gramEnd"/>
      <w:r w:rsidRPr="00AF0160">
        <w:rPr>
          <w:sz w:val="24"/>
          <w:szCs w:val="24"/>
        </w:rPr>
        <w:t xml:space="preserve"> regard to incidence of perioperative stroke and patient’s 30 day neurological outcome.</w:t>
      </w:r>
    </w:p>
    <w:p w:rsidR="00CC6C26" w:rsidRDefault="00FF4882" w:rsidP="00CC6C26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GA </w:t>
      </w:r>
      <w:r w:rsidR="00CC6C26" w:rsidRPr="00CC6C26">
        <w:rPr>
          <w:b/>
          <w:sz w:val="24"/>
          <w:szCs w:val="24"/>
          <w:u w:val="single"/>
        </w:rPr>
        <w:t xml:space="preserve">for CEA: </w:t>
      </w:r>
    </w:p>
    <w:p w:rsidR="00CC6C26" w:rsidRDefault="00CC6C26" w:rsidP="00FF4882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FF4882">
        <w:rPr>
          <w:sz w:val="24"/>
          <w:szCs w:val="24"/>
        </w:rPr>
        <w:t>Volatile anesthetic agents vs. total intravenous anesthesia: perioperative neurological outcome</w:t>
      </w:r>
      <w:r w:rsidR="00FF4882">
        <w:rPr>
          <w:sz w:val="24"/>
          <w:szCs w:val="24"/>
        </w:rPr>
        <w:t>, review of the data</w:t>
      </w:r>
    </w:p>
    <w:p w:rsidR="00FF4882" w:rsidRPr="003F0899" w:rsidRDefault="003F0899" w:rsidP="003F0899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Role of remifentanil and </w:t>
      </w:r>
      <w:proofErr w:type="spellStart"/>
      <w:r>
        <w:rPr>
          <w:sz w:val="24"/>
          <w:szCs w:val="24"/>
        </w:rPr>
        <w:t>dexmedetomidine</w:t>
      </w:r>
      <w:proofErr w:type="spellEnd"/>
      <w:r>
        <w:rPr>
          <w:sz w:val="24"/>
          <w:szCs w:val="24"/>
        </w:rPr>
        <w:t xml:space="preserve"> </w:t>
      </w:r>
      <w:r w:rsidR="00FF4882" w:rsidRPr="003F0899">
        <w:rPr>
          <w:sz w:val="24"/>
          <w:szCs w:val="24"/>
        </w:rPr>
        <w:t>during</w:t>
      </w:r>
      <w:r w:rsidRPr="003F0899">
        <w:rPr>
          <w:sz w:val="24"/>
          <w:szCs w:val="24"/>
        </w:rPr>
        <w:t xml:space="preserve"> GA</w:t>
      </w:r>
    </w:p>
    <w:p w:rsidR="00FF4882" w:rsidRPr="003F0899" w:rsidRDefault="00FF4882" w:rsidP="003F0899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PaCO2 management during</w:t>
      </w:r>
      <w:r w:rsidR="003F0899">
        <w:rPr>
          <w:sz w:val="24"/>
          <w:szCs w:val="24"/>
        </w:rPr>
        <w:t xml:space="preserve"> </w:t>
      </w:r>
      <w:proofErr w:type="gramStart"/>
      <w:r w:rsidR="003F0899">
        <w:rPr>
          <w:sz w:val="24"/>
          <w:szCs w:val="24"/>
        </w:rPr>
        <w:t>GA :</w:t>
      </w:r>
      <w:proofErr w:type="gramEnd"/>
      <w:r w:rsidR="003F0899">
        <w:rPr>
          <w:sz w:val="24"/>
          <w:szCs w:val="24"/>
        </w:rPr>
        <w:t xml:space="preserve"> M</w:t>
      </w:r>
      <w:r w:rsidRPr="003F0899">
        <w:rPr>
          <w:sz w:val="24"/>
          <w:szCs w:val="24"/>
        </w:rPr>
        <w:t>ild hypercarbia vs mild hyporcarbia on cerebral vasculature on ipsilateral and contralateral side in</w:t>
      </w:r>
      <w:r w:rsidR="003F0899">
        <w:rPr>
          <w:sz w:val="24"/>
          <w:szCs w:val="24"/>
        </w:rPr>
        <w:t xml:space="preserve"> a</w:t>
      </w:r>
      <w:r w:rsidRPr="003F0899">
        <w:rPr>
          <w:sz w:val="24"/>
          <w:szCs w:val="24"/>
        </w:rPr>
        <w:t xml:space="preserve"> patient with severe carotid artery stenosis and neuroglial outcome.</w:t>
      </w:r>
    </w:p>
    <w:p w:rsidR="00FF4882" w:rsidRPr="003F0899" w:rsidRDefault="00FF4882" w:rsidP="00FF4882">
      <w:pPr>
        <w:rPr>
          <w:sz w:val="24"/>
          <w:szCs w:val="24"/>
          <w:u w:val="single"/>
        </w:rPr>
      </w:pPr>
      <w:r w:rsidRPr="003F0899">
        <w:rPr>
          <w:b/>
          <w:sz w:val="24"/>
          <w:szCs w:val="24"/>
          <w:u w:val="single"/>
        </w:rPr>
        <w:t>Shunting during CEA:</w:t>
      </w:r>
      <w:r w:rsidRPr="003F0899">
        <w:rPr>
          <w:sz w:val="24"/>
          <w:szCs w:val="24"/>
          <w:u w:val="single"/>
        </w:rPr>
        <w:t xml:space="preserve"> </w:t>
      </w:r>
    </w:p>
    <w:p w:rsidR="00FF4882" w:rsidRPr="003F0899" w:rsidRDefault="003F0899" w:rsidP="003F0899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Routine shunting vs s</w:t>
      </w:r>
      <w:r w:rsidR="00FF4882" w:rsidRPr="003F0899">
        <w:rPr>
          <w:sz w:val="24"/>
          <w:szCs w:val="24"/>
        </w:rPr>
        <w:t>elective shunting with regard to no shunt and risk of perioperative stroke, review  of the literature</w:t>
      </w:r>
    </w:p>
    <w:p w:rsidR="00FF4882" w:rsidRPr="00AF0160" w:rsidRDefault="00FF4882" w:rsidP="00FF4882">
      <w:pPr>
        <w:rPr>
          <w:b/>
          <w:sz w:val="24"/>
          <w:szCs w:val="24"/>
          <w:u w:val="single"/>
        </w:rPr>
      </w:pPr>
      <w:r w:rsidRPr="00AF0160">
        <w:rPr>
          <w:b/>
          <w:sz w:val="24"/>
          <w:szCs w:val="24"/>
          <w:u w:val="single"/>
        </w:rPr>
        <w:t>Neuromonitoring</w:t>
      </w:r>
      <w:r w:rsidR="00AF0160" w:rsidRPr="00AF0160">
        <w:rPr>
          <w:b/>
          <w:sz w:val="24"/>
          <w:szCs w:val="24"/>
          <w:u w:val="single"/>
        </w:rPr>
        <w:t xml:space="preserve"> techniques and their limitations</w:t>
      </w:r>
      <w:r w:rsidRPr="00AF0160">
        <w:rPr>
          <w:b/>
          <w:sz w:val="24"/>
          <w:szCs w:val="24"/>
          <w:u w:val="single"/>
        </w:rPr>
        <w:t xml:space="preserve"> during CEA and</w:t>
      </w:r>
      <w:r w:rsidR="00AF0160" w:rsidRPr="00AF0160">
        <w:rPr>
          <w:b/>
          <w:sz w:val="24"/>
          <w:szCs w:val="24"/>
          <w:u w:val="single"/>
        </w:rPr>
        <w:t xml:space="preserve"> patient’s neurological outcome as per current literature</w:t>
      </w:r>
    </w:p>
    <w:p w:rsidR="00FF4882" w:rsidRDefault="00FF4882" w:rsidP="00FF4882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Awake patient during regional anesthesia</w:t>
      </w:r>
    </w:p>
    <w:p w:rsidR="00FF4882" w:rsidRDefault="00FF4882" w:rsidP="00FF4882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EEG monitoring</w:t>
      </w:r>
    </w:p>
    <w:p w:rsidR="00FF4882" w:rsidRDefault="00FF4882" w:rsidP="00FF4882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 xml:space="preserve">Somatosensory and motor evoked potential </w:t>
      </w:r>
      <w:r w:rsidR="00AF0160">
        <w:rPr>
          <w:sz w:val="24"/>
          <w:szCs w:val="24"/>
        </w:rPr>
        <w:t>monitoring</w:t>
      </w:r>
    </w:p>
    <w:p w:rsidR="00AF0160" w:rsidRDefault="00AF0160" w:rsidP="00FF4882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Cerebral oximetry</w:t>
      </w:r>
    </w:p>
    <w:p w:rsidR="00AF0160" w:rsidRDefault="00AF0160" w:rsidP="00FF4882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Jugular venous oxygen monitoring</w:t>
      </w:r>
    </w:p>
    <w:p w:rsidR="00AF0160" w:rsidRDefault="00AF0160" w:rsidP="00FF4882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Carotid artery stump pressure monitoring</w:t>
      </w:r>
    </w:p>
    <w:p w:rsidR="00E335A1" w:rsidRDefault="00AF0160" w:rsidP="00E335A1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Transcranial Doppler monitor (TCD)</w:t>
      </w:r>
    </w:p>
    <w:p w:rsidR="00AF0160" w:rsidRDefault="00AF0160" w:rsidP="00AF0160">
      <w:pPr>
        <w:rPr>
          <w:sz w:val="24"/>
          <w:szCs w:val="24"/>
        </w:rPr>
      </w:pPr>
      <w:r>
        <w:rPr>
          <w:sz w:val="24"/>
          <w:szCs w:val="24"/>
        </w:rPr>
        <w:t>Blood pressure targets during unclamping and clamping to avoid perioperative stroke: current data review</w:t>
      </w:r>
    </w:p>
    <w:p w:rsidR="00AF0160" w:rsidRPr="00AF0160" w:rsidRDefault="00AF0160" w:rsidP="00AF0160">
      <w:pPr>
        <w:rPr>
          <w:b/>
          <w:sz w:val="24"/>
          <w:szCs w:val="24"/>
          <w:u w:val="single"/>
        </w:rPr>
      </w:pPr>
      <w:r w:rsidRPr="00AF0160">
        <w:rPr>
          <w:b/>
          <w:sz w:val="24"/>
          <w:szCs w:val="24"/>
          <w:u w:val="single"/>
        </w:rPr>
        <w:t xml:space="preserve"> Prevention of carotid sinus reflex:  </w:t>
      </w:r>
    </w:p>
    <w:p w:rsidR="00AF0160" w:rsidRDefault="00AF0160" w:rsidP="00AF0160">
      <w:pPr>
        <w:rPr>
          <w:sz w:val="24"/>
          <w:szCs w:val="24"/>
        </w:rPr>
      </w:pPr>
      <w:r w:rsidRPr="00AF0160">
        <w:rPr>
          <w:sz w:val="24"/>
          <w:szCs w:val="24"/>
        </w:rPr>
        <w:t>Description</w:t>
      </w:r>
      <w:r w:rsidRPr="00AF0160">
        <w:rPr>
          <w:b/>
          <w:sz w:val="24"/>
          <w:szCs w:val="24"/>
        </w:rPr>
        <w:t xml:space="preserve"> of</w:t>
      </w:r>
      <w:r>
        <w:rPr>
          <w:b/>
          <w:sz w:val="24"/>
          <w:szCs w:val="24"/>
          <w:u w:val="single"/>
        </w:rPr>
        <w:t xml:space="preserve"> </w:t>
      </w:r>
      <w:r w:rsidR="003F0899">
        <w:rPr>
          <w:sz w:val="24"/>
          <w:szCs w:val="24"/>
        </w:rPr>
        <w:t>a</w:t>
      </w:r>
      <w:r w:rsidRPr="00AF0160">
        <w:rPr>
          <w:sz w:val="24"/>
          <w:szCs w:val="24"/>
        </w:rPr>
        <w:t>dvantages and disadvantages of routine carotid sheath infiltration</w:t>
      </w:r>
      <w:r>
        <w:rPr>
          <w:sz w:val="24"/>
          <w:szCs w:val="24"/>
        </w:rPr>
        <w:t xml:space="preserve"> with lidocaine and postoperative hypertension</w:t>
      </w:r>
    </w:p>
    <w:p w:rsidR="00AF0160" w:rsidRPr="003F0899" w:rsidRDefault="00AF0160" w:rsidP="00AF0160">
      <w:pPr>
        <w:rPr>
          <w:b/>
          <w:sz w:val="24"/>
          <w:szCs w:val="24"/>
          <w:u w:val="single"/>
        </w:rPr>
      </w:pPr>
      <w:r w:rsidRPr="003F0899">
        <w:rPr>
          <w:b/>
          <w:sz w:val="24"/>
          <w:szCs w:val="24"/>
          <w:u w:val="single"/>
        </w:rPr>
        <w:t>Cerebral hyperperfusion</w:t>
      </w:r>
      <w:bookmarkStart w:id="0" w:name="_GoBack"/>
      <w:bookmarkEnd w:id="0"/>
      <w:r w:rsidRPr="003F0899">
        <w:rPr>
          <w:b/>
          <w:sz w:val="24"/>
          <w:szCs w:val="24"/>
          <w:u w:val="single"/>
        </w:rPr>
        <w:t xml:space="preserve"> </w:t>
      </w:r>
      <w:r w:rsidR="003F0899" w:rsidRPr="003F0899">
        <w:rPr>
          <w:b/>
          <w:sz w:val="24"/>
          <w:szCs w:val="24"/>
          <w:u w:val="single"/>
        </w:rPr>
        <w:t>syndrome (CHS)</w:t>
      </w:r>
    </w:p>
    <w:p w:rsidR="00AF0160" w:rsidRPr="003F0899" w:rsidRDefault="003F0899" w:rsidP="00AF0160">
      <w:pPr>
        <w:rPr>
          <w:sz w:val="24"/>
          <w:szCs w:val="24"/>
        </w:rPr>
      </w:pPr>
      <w:r w:rsidRPr="003F0899">
        <w:rPr>
          <w:sz w:val="24"/>
          <w:szCs w:val="24"/>
        </w:rPr>
        <w:t>Etiology, prevention, management and neurological outcome of CHS</w:t>
      </w:r>
    </w:p>
    <w:p w:rsidR="00AF0160" w:rsidRPr="00AF0160" w:rsidRDefault="00AF0160" w:rsidP="00AF0160">
      <w:pPr>
        <w:rPr>
          <w:b/>
          <w:sz w:val="24"/>
          <w:szCs w:val="24"/>
          <w:u w:val="single"/>
        </w:rPr>
      </w:pPr>
    </w:p>
    <w:p w:rsidR="00AF0160" w:rsidRDefault="00AF0160" w:rsidP="00AF0160">
      <w:pPr>
        <w:rPr>
          <w:sz w:val="24"/>
          <w:szCs w:val="24"/>
        </w:rPr>
      </w:pPr>
    </w:p>
    <w:p w:rsidR="00AF0160" w:rsidRPr="00AF0160" w:rsidRDefault="00AF0160" w:rsidP="00AF0160">
      <w:pPr>
        <w:rPr>
          <w:sz w:val="24"/>
          <w:szCs w:val="24"/>
        </w:rPr>
      </w:pPr>
    </w:p>
    <w:p w:rsidR="00E335A1" w:rsidRPr="00E335A1" w:rsidRDefault="00E335A1" w:rsidP="00486FEB">
      <w:pPr>
        <w:rPr>
          <w:sz w:val="24"/>
          <w:szCs w:val="24"/>
        </w:rPr>
      </w:pPr>
    </w:p>
    <w:p w:rsidR="00E335A1" w:rsidRDefault="00E335A1" w:rsidP="00486FEB">
      <w:pPr>
        <w:rPr>
          <w:b/>
          <w:sz w:val="24"/>
          <w:szCs w:val="24"/>
        </w:rPr>
      </w:pPr>
    </w:p>
    <w:p w:rsidR="00E335A1" w:rsidRDefault="00E335A1" w:rsidP="00486FEB">
      <w:pPr>
        <w:rPr>
          <w:b/>
          <w:sz w:val="24"/>
          <w:szCs w:val="24"/>
        </w:rPr>
      </w:pPr>
    </w:p>
    <w:p w:rsidR="00E335A1" w:rsidRDefault="00E335A1" w:rsidP="00486FEB">
      <w:pPr>
        <w:rPr>
          <w:b/>
          <w:sz w:val="24"/>
          <w:szCs w:val="24"/>
        </w:rPr>
      </w:pPr>
    </w:p>
    <w:p w:rsidR="00E335A1" w:rsidRDefault="00E335A1" w:rsidP="00486FEB">
      <w:pPr>
        <w:rPr>
          <w:b/>
          <w:sz w:val="24"/>
          <w:szCs w:val="24"/>
        </w:rPr>
      </w:pPr>
    </w:p>
    <w:p w:rsidR="00486FEB" w:rsidRPr="00486FEB" w:rsidRDefault="00486FEB" w:rsidP="00486FEB">
      <w:pPr>
        <w:rPr>
          <w:b/>
          <w:sz w:val="24"/>
          <w:szCs w:val="24"/>
        </w:rPr>
      </w:pPr>
    </w:p>
    <w:p w:rsidR="00486FEB" w:rsidRPr="00486FEB" w:rsidRDefault="00486FEB" w:rsidP="00486FEB">
      <w:pPr>
        <w:pStyle w:val="ListParagraph"/>
        <w:rPr>
          <w:b/>
          <w:sz w:val="24"/>
          <w:szCs w:val="24"/>
        </w:rPr>
      </w:pPr>
    </w:p>
    <w:p w:rsidR="00486FEB" w:rsidRPr="00486FEB" w:rsidRDefault="00486FEB" w:rsidP="00486FEB">
      <w:pPr>
        <w:pStyle w:val="ListParagraph"/>
        <w:rPr>
          <w:sz w:val="24"/>
          <w:szCs w:val="24"/>
        </w:rPr>
      </w:pPr>
    </w:p>
    <w:sectPr w:rsidR="00486FEB" w:rsidRPr="00486F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1201F"/>
    <w:multiLevelType w:val="hybridMultilevel"/>
    <w:tmpl w:val="41944C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4F0BE5"/>
    <w:multiLevelType w:val="hybridMultilevel"/>
    <w:tmpl w:val="222AE7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7A78B5"/>
    <w:multiLevelType w:val="hybridMultilevel"/>
    <w:tmpl w:val="A8DA4F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850C2C"/>
    <w:multiLevelType w:val="hybridMultilevel"/>
    <w:tmpl w:val="D1CACA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7E575A"/>
    <w:multiLevelType w:val="hybridMultilevel"/>
    <w:tmpl w:val="C512EA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467E1E"/>
    <w:multiLevelType w:val="hybridMultilevel"/>
    <w:tmpl w:val="A58C99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DA6FFB"/>
    <w:multiLevelType w:val="hybridMultilevel"/>
    <w:tmpl w:val="28D4BCA0"/>
    <w:lvl w:ilvl="0" w:tplc="D870CC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6E2A00"/>
    <w:multiLevelType w:val="hybridMultilevel"/>
    <w:tmpl w:val="2A403E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47256A"/>
    <w:multiLevelType w:val="hybridMultilevel"/>
    <w:tmpl w:val="2B62AD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194EE2"/>
    <w:multiLevelType w:val="hybridMultilevel"/>
    <w:tmpl w:val="B45CE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7"/>
  </w:num>
  <w:num w:numId="5">
    <w:abstractNumId w:val="3"/>
  </w:num>
  <w:num w:numId="6">
    <w:abstractNumId w:val="5"/>
  </w:num>
  <w:num w:numId="7">
    <w:abstractNumId w:val="0"/>
  </w:num>
  <w:num w:numId="8">
    <w:abstractNumId w:val="4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FEB"/>
    <w:rsid w:val="003F0899"/>
    <w:rsid w:val="00486FEB"/>
    <w:rsid w:val="0050189C"/>
    <w:rsid w:val="00AF0160"/>
    <w:rsid w:val="00CC6C26"/>
    <w:rsid w:val="00E335A1"/>
    <w:rsid w:val="00FF4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6F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6F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Baystate Health</Company>
  <LinksUpToDate>false</LinksUpToDate>
  <CharactersWithSpaces>2819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D'Souza, Stanlies</dc:creator>
  <cp:lastModifiedBy>D'Souza, Stanlies</cp:lastModifiedBy>
  <cp:revision>1</cp:revision>
  <dcterms:created xsi:type="dcterms:W3CDTF">2019-12-24T15:56:00Z</dcterms:created>
  <dcterms:modified xsi:type="dcterms:W3CDTF">2019-12-24T16:54:00Z</dcterms:modified>
</cp:coreProperties>
</file>