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7618EF" w:rsidRDefault="0029396F" w:rsidP="007618EF">
      <w:pPr>
        <w:pStyle w:val="Heading1"/>
        <w:spacing w:before="170"/>
        <w:ind w:left="0"/>
        <w:jc w:val="both"/>
        <w:rPr>
          <w:color w:val="337AB7"/>
        </w:rPr>
      </w:pPr>
      <w:r>
        <w:rPr>
          <w:color w:val="337AB7"/>
        </w:rPr>
        <w:t>Exploring</w:t>
      </w:r>
      <w:r w:rsidRPr="0029396F">
        <w:rPr>
          <w:color w:val="337AB7"/>
        </w:rPr>
        <w:t xml:space="preserve"> </w:t>
      </w:r>
      <w:r w:rsidR="007618EF" w:rsidRPr="007618EF">
        <w:rPr>
          <w:color w:val="337AB7"/>
        </w:rPr>
        <w:t xml:space="preserve">Protective </w:t>
      </w:r>
      <w:r w:rsidR="007618EF">
        <w:rPr>
          <w:color w:val="337AB7"/>
        </w:rPr>
        <w:t xml:space="preserve">and </w:t>
      </w:r>
      <w:r w:rsidR="0087071A" w:rsidRPr="0029396F">
        <w:rPr>
          <w:color w:val="337AB7"/>
        </w:rPr>
        <w:t>I</w:t>
      </w:r>
      <w:r w:rsidRPr="0029396F">
        <w:rPr>
          <w:color w:val="337AB7"/>
        </w:rPr>
        <w:t xml:space="preserve">mmunomodulatory </w:t>
      </w:r>
      <w:r w:rsidR="0087071A" w:rsidRPr="0029396F">
        <w:rPr>
          <w:color w:val="337AB7"/>
        </w:rPr>
        <w:t>Ef</w:t>
      </w:r>
      <w:r w:rsidRPr="0029396F">
        <w:rPr>
          <w:color w:val="337AB7"/>
        </w:rPr>
        <w:t>fect</w:t>
      </w:r>
      <w:r w:rsidR="007618EF">
        <w:rPr>
          <w:color w:val="337AB7"/>
        </w:rPr>
        <w:t>s</w:t>
      </w:r>
      <w:r w:rsidRPr="0029396F">
        <w:rPr>
          <w:color w:val="337AB7"/>
        </w:rPr>
        <w:t xml:space="preserve"> of </w:t>
      </w:r>
      <w:r w:rsidRPr="0029396F">
        <w:rPr>
          <w:i/>
          <w:iCs/>
          <w:color w:val="337AB7"/>
        </w:rPr>
        <w:t>Withania</w:t>
      </w:r>
      <w:r>
        <w:rPr>
          <w:i/>
          <w:iCs/>
          <w:color w:val="337AB7"/>
        </w:rPr>
        <w:t xml:space="preserve"> </w:t>
      </w:r>
      <w:r w:rsidRPr="0029396F">
        <w:rPr>
          <w:i/>
          <w:iCs/>
          <w:color w:val="337AB7"/>
        </w:rPr>
        <w:t xml:space="preserve">somnifera </w:t>
      </w:r>
      <w:r w:rsidRPr="0029396F">
        <w:rPr>
          <w:color w:val="337AB7"/>
        </w:rPr>
        <w:t xml:space="preserve">on </w:t>
      </w:r>
      <w:r w:rsidR="0087071A">
        <w:rPr>
          <w:color w:val="337AB7"/>
        </w:rPr>
        <w:t>Zi</w:t>
      </w:r>
      <w:r w:rsidR="00FB4344">
        <w:rPr>
          <w:color w:val="337AB7"/>
        </w:rPr>
        <w:t xml:space="preserve">nc </w:t>
      </w:r>
      <w:r w:rsidR="0087071A">
        <w:rPr>
          <w:color w:val="337AB7"/>
        </w:rPr>
        <w:t>Oxid</w:t>
      </w:r>
      <w:r w:rsidR="00FB4344">
        <w:rPr>
          <w:color w:val="337AB7"/>
        </w:rPr>
        <w:t xml:space="preserve">e </w:t>
      </w:r>
      <w:r w:rsidR="0087071A" w:rsidRPr="0087071A">
        <w:rPr>
          <w:color w:val="337AB7"/>
        </w:rPr>
        <w:t>Nanomaterials</w:t>
      </w:r>
      <w:r w:rsidRPr="0029396F">
        <w:rPr>
          <w:color w:val="337AB7"/>
        </w:rPr>
        <w:t xml:space="preserve"> </w:t>
      </w:r>
      <w:r w:rsidR="0087071A" w:rsidRPr="0029396F">
        <w:rPr>
          <w:color w:val="337AB7"/>
        </w:rPr>
        <w:t>Induced</w:t>
      </w:r>
      <w:r w:rsidR="0087071A">
        <w:rPr>
          <w:color w:val="337AB7"/>
        </w:rPr>
        <w:t xml:space="preserve"> Cy</w:t>
      </w:r>
      <w:r w:rsidR="0087071A" w:rsidRPr="0029396F">
        <w:rPr>
          <w:color w:val="337AB7"/>
        </w:rPr>
        <w:t>to</w:t>
      </w:r>
      <w:r w:rsidR="0087071A">
        <w:rPr>
          <w:color w:val="337AB7"/>
        </w:rPr>
        <w:t>to</w:t>
      </w:r>
      <w:r w:rsidR="0087071A" w:rsidRPr="0029396F">
        <w:rPr>
          <w:color w:val="337AB7"/>
        </w:rPr>
        <w:t xml:space="preserve">xicity </w:t>
      </w:r>
      <w:r w:rsidR="0087071A">
        <w:rPr>
          <w:color w:val="337AB7"/>
        </w:rPr>
        <w:t>on</w:t>
      </w:r>
      <w:r w:rsidR="0087071A" w:rsidRPr="0029396F">
        <w:rPr>
          <w:color w:val="337AB7"/>
        </w:rPr>
        <w:t xml:space="preserve"> </w:t>
      </w:r>
      <w:r w:rsidR="0087071A" w:rsidRPr="003B588A">
        <w:rPr>
          <w:color w:val="337AB7"/>
        </w:rPr>
        <w:t>Cellular Immunity</w:t>
      </w:r>
    </w:p>
    <w:p w:rsidR="0029396F" w:rsidRPr="00BE2B7F" w:rsidRDefault="0087071A" w:rsidP="005973B9">
      <w:pPr>
        <w:pStyle w:val="BodyText"/>
        <w:spacing w:before="73" w:line="198" w:lineRule="exact"/>
        <w:ind w:left="100" w:right="5987"/>
        <w:rPr>
          <w:rFonts w:ascii="Arial" w:hAnsi="Arial" w:cs="Arial"/>
        </w:rPr>
      </w:pPr>
      <w:r w:rsidRPr="00BE2B7F">
        <w:rPr>
          <w:rFonts w:ascii="Arial" w:hAnsi="Arial" w:cs="Arial"/>
        </w:rPr>
        <w:t>Jitendra Kumar, M.V.Sc, ICAR-NDRI, INDIA</w:t>
      </w:r>
    </w:p>
    <w:p w:rsidR="0029396F" w:rsidRPr="00BE2B7F" w:rsidRDefault="0029396F" w:rsidP="005973B9">
      <w:pPr>
        <w:pStyle w:val="BodyText"/>
        <w:spacing w:before="73" w:line="198" w:lineRule="exact"/>
        <w:ind w:left="100" w:right="5987"/>
        <w:rPr>
          <w:rFonts w:ascii="Arial" w:hAnsi="Arial" w:cs="Arial"/>
        </w:rPr>
      </w:pPr>
      <w:r w:rsidRPr="00BE2B7F">
        <w:rPr>
          <w:rFonts w:ascii="Arial" w:hAnsi="Arial" w:cs="Arial"/>
        </w:rPr>
        <w:t xml:space="preserve">Murli Dhar Mitra, </w:t>
      </w:r>
      <w:r w:rsidR="0087071A">
        <w:rPr>
          <w:rFonts w:ascii="Arial" w:hAnsi="Arial" w:cs="Arial"/>
        </w:rPr>
        <w:t>M.Sc, IIT-</w:t>
      </w:r>
      <w:r w:rsidRPr="00BE2B7F">
        <w:rPr>
          <w:rFonts w:ascii="Arial" w:hAnsi="Arial" w:cs="Arial"/>
        </w:rPr>
        <w:t>BHU, INDIA</w:t>
      </w:r>
    </w:p>
    <w:p w:rsidR="0029396F" w:rsidRPr="00BE2B7F" w:rsidRDefault="0029396F" w:rsidP="005973B9">
      <w:pPr>
        <w:pStyle w:val="BodyText"/>
        <w:spacing w:before="73" w:line="198" w:lineRule="exact"/>
        <w:ind w:left="100" w:right="5987"/>
        <w:rPr>
          <w:rFonts w:ascii="Arial" w:hAnsi="Arial" w:cs="Arial"/>
        </w:rPr>
      </w:pPr>
      <w:r w:rsidRPr="00BE2B7F">
        <w:rPr>
          <w:rFonts w:ascii="Arial" w:hAnsi="Arial" w:cs="Arial"/>
        </w:rPr>
        <w:t>Ahmad Hussain, M.Sc, ICAR-NDRI, INDIA</w:t>
      </w:r>
    </w:p>
    <w:p w:rsidR="005973B9" w:rsidRPr="00BE2B7F" w:rsidRDefault="0029396F" w:rsidP="005973B9">
      <w:pPr>
        <w:pStyle w:val="BodyText"/>
        <w:spacing w:before="73" w:line="198" w:lineRule="exact"/>
        <w:ind w:left="100" w:right="5987"/>
        <w:rPr>
          <w:rFonts w:ascii="Arial" w:hAnsi="Arial" w:cs="Arial"/>
        </w:rPr>
      </w:pPr>
      <w:r w:rsidRPr="00BE2B7F">
        <w:rPr>
          <w:rFonts w:ascii="Arial" w:hAnsi="Arial" w:cs="Arial"/>
        </w:rPr>
        <w:t xml:space="preserve">Gautam Kaul, </w:t>
      </w:r>
      <w:r w:rsidR="005973B9" w:rsidRPr="00BE2B7F">
        <w:rPr>
          <w:rFonts w:ascii="Arial" w:hAnsi="Arial" w:cs="Arial"/>
        </w:rPr>
        <w:t xml:space="preserve">PhD, </w:t>
      </w:r>
      <w:r w:rsidRPr="00BE2B7F">
        <w:rPr>
          <w:rFonts w:ascii="Arial" w:hAnsi="Arial" w:cs="Arial"/>
        </w:rPr>
        <w:t>ICAR-NDRI, INDIA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D517DC">
      <w:pPr>
        <w:pStyle w:val="Heading3"/>
        <w:spacing w:before="147"/>
        <w:ind w:left="0"/>
        <w:jc w:val="both"/>
      </w:pPr>
      <w:r>
        <w:rPr>
          <w:color w:val="BF5A14"/>
        </w:rPr>
        <w:lastRenderedPageBreak/>
        <w:t>Abstract</w:t>
      </w:r>
      <w:r w:rsidR="00404E5B">
        <w:rPr>
          <w:color w:val="BF5A14"/>
        </w:rPr>
        <w:t xml:space="preserve"> (300 word limit)</w:t>
      </w:r>
    </w:p>
    <w:p w:rsidR="006F129A" w:rsidRPr="00D517DC" w:rsidRDefault="00A9710C" w:rsidP="003B588A">
      <w:pPr>
        <w:pStyle w:val="BodyText"/>
        <w:spacing w:before="90" w:line="280" w:lineRule="auto"/>
        <w:jc w:val="both"/>
        <w:rPr>
          <w:sz w:val="16"/>
          <w:szCs w:val="16"/>
        </w:rPr>
      </w:pPr>
      <w:r w:rsidRPr="00D517DC">
        <w:rPr>
          <w:b/>
          <w:sz w:val="16"/>
          <w:szCs w:val="16"/>
        </w:rPr>
        <w:t>Statement of the Problem:</w:t>
      </w:r>
      <w:r w:rsidRPr="00D517DC">
        <w:rPr>
          <w:sz w:val="16"/>
          <w:szCs w:val="16"/>
        </w:rPr>
        <w:t xml:space="preserve"> </w:t>
      </w:r>
      <w:r w:rsidR="00880057" w:rsidRPr="00D517DC">
        <w:rPr>
          <w:sz w:val="16"/>
          <w:szCs w:val="16"/>
        </w:rPr>
        <w:t>In current scenario ZnO NPs are used as a new type of micro nutrient</w:t>
      </w:r>
      <w:r w:rsidR="00D517DC">
        <w:rPr>
          <w:sz w:val="16"/>
          <w:szCs w:val="16"/>
        </w:rPr>
        <w:t xml:space="preserve"> zinc source in food additives </w:t>
      </w:r>
      <w:r w:rsidR="00D517DC" w:rsidRPr="00D517DC">
        <w:rPr>
          <w:sz w:val="16"/>
          <w:szCs w:val="16"/>
        </w:rPr>
        <w:t>for</w:t>
      </w:r>
      <w:r w:rsidR="00880057" w:rsidRPr="00D517DC">
        <w:rPr>
          <w:sz w:val="16"/>
          <w:szCs w:val="16"/>
        </w:rPr>
        <w:t xml:space="preserve"> food and dairy industry. Due to good antimicrobial ability zinc based nano materials (NMs) are added to food packages and also</w:t>
      </w:r>
      <w:r w:rsidR="00D517DC">
        <w:rPr>
          <w:sz w:val="16"/>
          <w:szCs w:val="16"/>
        </w:rPr>
        <w:t xml:space="preserve"> used for nutritional purposes. </w:t>
      </w:r>
      <w:r w:rsidR="00880057" w:rsidRPr="00D517DC">
        <w:rPr>
          <w:sz w:val="16"/>
          <w:szCs w:val="16"/>
        </w:rPr>
        <w:t>It is also being used as a dietary supplement for livesto</w:t>
      </w:r>
      <w:r w:rsidR="00D517DC">
        <w:rPr>
          <w:sz w:val="16"/>
          <w:szCs w:val="16"/>
        </w:rPr>
        <w:t xml:space="preserve">ck (feed additives) and </w:t>
      </w:r>
      <w:r w:rsidR="002528AD">
        <w:rPr>
          <w:sz w:val="16"/>
          <w:szCs w:val="16"/>
        </w:rPr>
        <w:t xml:space="preserve">humans </w:t>
      </w:r>
      <w:r w:rsidR="002528AD" w:rsidRPr="00D517DC">
        <w:rPr>
          <w:sz w:val="16"/>
          <w:szCs w:val="16"/>
        </w:rPr>
        <w:t>but</w:t>
      </w:r>
      <w:r w:rsidR="00880057" w:rsidRPr="00D517DC">
        <w:rPr>
          <w:sz w:val="16"/>
          <w:szCs w:val="16"/>
        </w:rPr>
        <w:t xml:space="preserve"> the usage of ZnO NPs has generated the debate on health complication of </w:t>
      </w:r>
      <w:r w:rsidR="002528AD" w:rsidRPr="00D517DC">
        <w:rPr>
          <w:sz w:val="16"/>
          <w:szCs w:val="16"/>
        </w:rPr>
        <w:t>this nano material</w:t>
      </w:r>
      <w:r w:rsidR="00880057" w:rsidRPr="00D517DC">
        <w:rPr>
          <w:sz w:val="16"/>
          <w:szCs w:val="16"/>
        </w:rPr>
        <w:t xml:space="preserve"> with stu</w:t>
      </w:r>
      <w:r w:rsidR="00D517DC">
        <w:rPr>
          <w:sz w:val="16"/>
          <w:szCs w:val="16"/>
        </w:rPr>
        <w:t>dies showing possible toxicity</w:t>
      </w:r>
      <w:r w:rsidR="00880057" w:rsidRPr="00D517DC">
        <w:rPr>
          <w:sz w:val="16"/>
          <w:szCs w:val="16"/>
        </w:rPr>
        <w:t>. In vitro cell line studies have shown decreased mitochondrial function (cell viability) and oxidative stress after exposure to ZnO NPs in </w:t>
      </w:r>
      <w:r w:rsidR="00880057" w:rsidRPr="00D517DC">
        <w:rPr>
          <w:i/>
          <w:iCs/>
          <w:sz w:val="16"/>
          <w:szCs w:val="16"/>
        </w:rPr>
        <w:t>Tetrahymena thermophila</w:t>
      </w:r>
      <w:r w:rsidR="00D517DC">
        <w:rPr>
          <w:sz w:val="16"/>
          <w:szCs w:val="16"/>
        </w:rPr>
        <w:t> </w:t>
      </w:r>
      <w:r w:rsidR="00880057" w:rsidRPr="00D517DC">
        <w:rPr>
          <w:sz w:val="16"/>
          <w:szCs w:val="16"/>
        </w:rPr>
        <w:t>and cytotoxic properties may be affected by the dose rate and physicochemical properties (size and shape) of ZnO NPs</w:t>
      </w:r>
      <w:r w:rsidR="00D517DC">
        <w:rPr>
          <w:sz w:val="16"/>
          <w:szCs w:val="16"/>
        </w:rPr>
        <w:t>.</w:t>
      </w:r>
    </w:p>
    <w:p w:rsidR="006F129A" w:rsidRPr="00D517DC" w:rsidRDefault="00A9710C" w:rsidP="003B588A">
      <w:pPr>
        <w:pStyle w:val="BodyText"/>
        <w:spacing w:before="90" w:line="280" w:lineRule="auto"/>
        <w:jc w:val="both"/>
        <w:rPr>
          <w:sz w:val="16"/>
          <w:szCs w:val="16"/>
        </w:rPr>
      </w:pPr>
      <w:r w:rsidRPr="00D517DC">
        <w:rPr>
          <w:b/>
          <w:sz w:val="16"/>
          <w:szCs w:val="16"/>
        </w:rPr>
        <w:t>Methodolog</w:t>
      </w:r>
      <w:r w:rsidR="008756E6" w:rsidRPr="00D517DC">
        <w:rPr>
          <w:b/>
          <w:sz w:val="16"/>
          <w:szCs w:val="16"/>
        </w:rPr>
        <w:t xml:space="preserve">y &amp; Theoretical </w:t>
      </w:r>
      <w:r w:rsidR="00F53956" w:rsidRPr="00D517DC">
        <w:rPr>
          <w:b/>
          <w:sz w:val="16"/>
          <w:szCs w:val="16"/>
        </w:rPr>
        <w:t>Orientation:</w:t>
      </w:r>
      <w:r w:rsidR="00F53956" w:rsidRPr="00D517DC">
        <w:rPr>
          <w:sz w:val="16"/>
          <w:szCs w:val="16"/>
        </w:rPr>
        <w:t xml:space="preserve"> </w:t>
      </w:r>
      <w:r w:rsidR="00880057" w:rsidRPr="00D517DC">
        <w:rPr>
          <w:sz w:val="16"/>
          <w:szCs w:val="16"/>
        </w:rPr>
        <w:t>The </w:t>
      </w:r>
      <w:r w:rsidR="00880057" w:rsidRPr="00D517DC">
        <w:rPr>
          <w:i/>
          <w:iCs/>
          <w:sz w:val="16"/>
          <w:szCs w:val="16"/>
        </w:rPr>
        <w:t>Balb</w:t>
      </w:r>
      <w:r w:rsidR="00880057" w:rsidRPr="00D517DC">
        <w:rPr>
          <w:sz w:val="16"/>
          <w:szCs w:val="16"/>
        </w:rPr>
        <w:t>/</w:t>
      </w:r>
      <w:r w:rsidR="00880057" w:rsidRPr="00D517DC">
        <w:rPr>
          <w:i/>
          <w:iCs/>
          <w:sz w:val="16"/>
          <w:szCs w:val="16"/>
        </w:rPr>
        <w:t>c</w:t>
      </w:r>
      <w:r w:rsidR="00880057" w:rsidRPr="00D517DC">
        <w:rPr>
          <w:sz w:val="16"/>
          <w:szCs w:val="16"/>
        </w:rPr>
        <w:t> mice were divided into eight groups with six animals each for 4 weeks of treatment</w:t>
      </w:r>
      <w:r w:rsidR="00D517DC">
        <w:rPr>
          <w:sz w:val="16"/>
          <w:szCs w:val="16"/>
        </w:rPr>
        <w:t xml:space="preserve">. </w:t>
      </w:r>
      <w:r w:rsidR="00880057" w:rsidRPr="00D517DC">
        <w:rPr>
          <w:sz w:val="16"/>
          <w:szCs w:val="16"/>
        </w:rPr>
        <w:t>Control group which was divided into two subgroups; control group (n</w:t>
      </w:r>
      <w:r w:rsidR="00880057" w:rsidRPr="00D517DC">
        <w:rPr>
          <w:rFonts w:ascii="Arial" w:hAnsi="Arial" w:cs="Arial"/>
          <w:sz w:val="16"/>
          <w:szCs w:val="16"/>
        </w:rPr>
        <w:t> </w:t>
      </w:r>
      <w:r w:rsidR="00880057" w:rsidRPr="00D517DC">
        <w:rPr>
          <w:sz w:val="16"/>
          <w:szCs w:val="16"/>
        </w:rPr>
        <w:t>=</w:t>
      </w:r>
      <w:r w:rsidR="00880057" w:rsidRPr="00D517DC">
        <w:rPr>
          <w:rFonts w:ascii="Arial" w:hAnsi="Arial" w:cs="Arial"/>
          <w:sz w:val="16"/>
          <w:szCs w:val="16"/>
        </w:rPr>
        <w:t> </w:t>
      </w:r>
      <w:r w:rsidR="00880057" w:rsidRPr="00D517DC">
        <w:rPr>
          <w:sz w:val="16"/>
          <w:szCs w:val="16"/>
        </w:rPr>
        <w:t>6) was given 0.3 mL drinking water and vehicle control group (n</w:t>
      </w:r>
      <w:r w:rsidR="00880057" w:rsidRPr="00D517DC">
        <w:rPr>
          <w:rFonts w:ascii="Arial" w:hAnsi="Arial" w:cs="Arial"/>
          <w:sz w:val="16"/>
          <w:szCs w:val="16"/>
        </w:rPr>
        <w:t> </w:t>
      </w:r>
      <w:r w:rsidR="00880057" w:rsidRPr="00D517DC">
        <w:rPr>
          <w:sz w:val="16"/>
          <w:szCs w:val="16"/>
        </w:rPr>
        <w:t>=</w:t>
      </w:r>
      <w:r w:rsidR="00880057" w:rsidRPr="00D517DC">
        <w:rPr>
          <w:rFonts w:ascii="Arial" w:hAnsi="Arial" w:cs="Arial"/>
          <w:sz w:val="16"/>
          <w:szCs w:val="16"/>
        </w:rPr>
        <w:t> </w:t>
      </w:r>
      <w:r w:rsidR="00880057" w:rsidRPr="00D517DC">
        <w:rPr>
          <w:sz w:val="16"/>
          <w:szCs w:val="16"/>
        </w:rPr>
        <w:t>6) received 0.3 mL of ethanol (10%) and the next two groups (ZnO NPs treated, n</w:t>
      </w:r>
      <w:r w:rsidR="00880057" w:rsidRPr="00D517DC">
        <w:rPr>
          <w:rFonts w:ascii="Arial" w:hAnsi="Arial" w:cs="Arial"/>
          <w:sz w:val="16"/>
          <w:szCs w:val="16"/>
        </w:rPr>
        <w:t> </w:t>
      </w:r>
      <w:r w:rsidR="00880057" w:rsidRPr="00D517DC">
        <w:rPr>
          <w:sz w:val="16"/>
          <w:szCs w:val="16"/>
        </w:rPr>
        <w:t>=</w:t>
      </w:r>
      <w:r w:rsidR="00880057" w:rsidRPr="00D517DC">
        <w:rPr>
          <w:rFonts w:ascii="Arial" w:hAnsi="Arial" w:cs="Arial"/>
          <w:sz w:val="16"/>
          <w:szCs w:val="16"/>
        </w:rPr>
        <w:t> </w:t>
      </w:r>
      <w:r w:rsidR="00880057" w:rsidRPr="00D517DC">
        <w:rPr>
          <w:sz w:val="16"/>
          <w:szCs w:val="16"/>
        </w:rPr>
        <w:t>6) received 5.0 and 50 mg/kg b.w/day by oral gavages according to organization for economic cooperation and development (OECD) guideline and another four groups (n</w:t>
      </w:r>
      <w:r w:rsidR="00880057" w:rsidRPr="00D517DC">
        <w:rPr>
          <w:rFonts w:ascii="Arial" w:hAnsi="Arial" w:cs="Arial"/>
          <w:sz w:val="16"/>
          <w:szCs w:val="16"/>
        </w:rPr>
        <w:t> </w:t>
      </w:r>
      <w:r w:rsidR="00880057" w:rsidRPr="00D517DC">
        <w:rPr>
          <w:sz w:val="16"/>
          <w:szCs w:val="16"/>
        </w:rPr>
        <w:t>=</w:t>
      </w:r>
      <w:r w:rsidR="00880057" w:rsidRPr="00D517DC">
        <w:rPr>
          <w:rFonts w:ascii="Arial" w:hAnsi="Arial" w:cs="Arial"/>
          <w:sz w:val="16"/>
          <w:szCs w:val="16"/>
        </w:rPr>
        <w:t> </w:t>
      </w:r>
      <w:r w:rsidR="00880057" w:rsidRPr="00D517DC">
        <w:rPr>
          <w:sz w:val="16"/>
          <w:szCs w:val="16"/>
        </w:rPr>
        <w:t xml:space="preserve">6) were treated with repeated dose of 5.0 and 50 mg/kg b.w of ZnO NPs along with co-treatment WS </w:t>
      </w:r>
      <w:r w:rsidR="00D517DC">
        <w:rPr>
          <w:sz w:val="16"/>
          <w:szCs w:val="16"/>
        </w:rPr>
        <w:t>(3.5 mg/dose/animal) and WA (2.5</w:t>
      </w:r>
      <w:r w:rsidR="00880057" w:rsidRPr="00D517DC">
        <w:rPr>
          <w:sz w:val="16"/>
          <w:szCs w:val="16"/>
        </w:rPr>
        <w:t> mg/kg b.w) for 4 week. The animals were administered with ZnO NPs to investigate the effect of ZnO NPs on animals. Further, the protective effect of WS and WA against ZnO NPs investigated. After 28 days exposure period of administration, animals were euthanized and different organs in PBS solution and the peritoneal fluid was collected in fresh Dulbecco’s Modified Eagle’s Medium Hams F-12 (DMEM) media.</w:t>
      </w:r>
    </w:p>
    <w:p w:rsidR="006F129A" w:rsidRPr="00D517DC" w:rsidRDefault="00A9710C" w:rsidP="003B588A">
      <w:pPr>
        <w:pStyle w:val="BodyText"/>
        <w:spacing w:before="90" w:line="280" w:lineRule="auto"/>
        <w:jc w:val="both"/>
        <w:rPr>
          <w:sz w:val="16"/>
          <w:szCs w:val="16"/>
        </w:rPr>
      </w:pPr>
      <w:r w:rsidRPr="00D517DC">
        <w:rPr>
          <w:b/>
          <w:sz w:val="16"/>
          <w:szCs w:val="16"/>
        </w:rPr>
        <w:t xml:space="preserve">Findings: </w:t>
      </w:r>
      <w:r w:rsidR="00880057" w:rsidRPr="00D517DC">
        <w:rPr>
          <w:sz w:val="16"/>
          <w:szCs w:val="16"/>
        </w:rPr>
        <w:t>In vivo study showed that, dose-dependent reduction in phagocytosis, an increase in the levels of NO production along with up-regulation of </w:t>
      </w:r>
      <w:r w:rsidR="00880057" w:rsidRPr="00D517DC">
        <w:rPr>
          <w:i/>
          <w:iCs/>
          <w:sz w:val="16"/>
          <w:szCs w:val="16"/>
        </w:rPr>
        <w:t>TLR6, arginase</w:t>
      </w:r>
      <w:r w:rsidR="00880057" w:rsidRPr="00D517DC">
        <w:rPr>
          <w:sz w:val="16"/>
          <w:szCs w:val="16"/>
        </w:rPr>
        <w:t> gene was significant (P</w:t>
      </w:r>
      <w:r w:rsidR="00880057" w:rsidRPr="00D517DC">
        <w:rPr>
          <w:rFonts w:ascii="Arial" w:hAnsi="Arial" w:cs="Arial"/>
          <w:sz w:val="16"/>
          <w:szCs w:val="16"/>
        </w:rPr>
        <w:t> </w:t>
      </w:r>
      <w:r w:rsidR="00880057" w:rsidRPr="00D517DC">
        <w:rPr>
          <w:sz w:val="16"/>
          <w:szCs w:val="16"/>
        </w:rPr>
        <w:t>&lt;</w:t>
      </w:r>
      <w:r w:rsidR="00880057" w:rsidRPr="00D517DC">
        <w:rPr>
          <w:rFonts w:ascii="Arial" w:hAnsi="Arial" w:cs="Arial"/>
          <w:sz w:val="16"/>
          <w:szCs w:val="16"/>
        </w:rPr>
        <w:t> </w:t>
      </w:r>
      <w:r w:rsidR="00880057" w:rsidRPr="00D517DC">
        <w:rPr>
          <w:sz w:val="16"/>
          <w:szCs w:val="16"/>
        </w:rPr>
        <w:t xml:space="preserve">0.05) </w:t>
      </w:r>
      <w:r w:rsidR="0029396F">
        <w:rPr>
          <w:sz w:val="16"/>
          <w:szCs w:val="16"/>
        </w:rPr>
        <w:t xml:space="preserve">in </w:t>
      </w:r>
      <w:r w:rsidR="00880057" w:rsidRPr="00D517DC">
        <w:rPr>
          <w:sz w:val="16"/>
          <w:szCs w:val="16"/>
        </w:rPr>
        <w:t xml:space="preserve">ZnO NPs </w:t>
      </w:r>
      <w:r w:rsidR="0029396F">
        <w:rPr>
          <w:sz w:val="16"/>
          <w:szCs w:val="16"/>
        </w:rPr>
        <w:t>exposed animals</w:t>
      </w:r>
      <w:r w:rsidR="00880057" w:rsidRPr="00D517DC">
        <w:rPr>
          <w:sz w:val="16"/>
          <w:szCs w:val="16"/>
        </w:rPr>
        <w:t xml:space="preserve">. However </w:t>
      </w:r>
      <w:r w:rsidR="0029396F">
        <w:rPr>
          <w:sz w:val="16"/>
          <w:szCs w:val="16"/>
        </w:rPr>
        <w:t>cy</w:t>
      </w:r>
      <w:r w:rsidR="00880057" w:rsidRPr="00D517DC">
        <w:rPr>
          <w:sz w:val="16"/>
          <w:szCs w:val="16"/>
        </w:rPr>
        <w:t>toxicity of ZnO NP was reduced in presence of WS and WA with decreased </w:t>
      </w:r>
      <w:r w:rsidR="00880057" w:rsidRPr="00D517DC">
        <w:rPr>
          <w:i/>
          <w:iCs/>
          <w:sz w:val="16"/>
          <w:szCs w:val="16"/>
        </w:rPr>
        <w:t>TLR6</w:t>
      </w:r>
      <w:r w:rsidR="00880057" w:rsidRPr="00D517DC">
        <w:rPr>
          <w:sz w:val="16"/>
          <w:szCs w:val="16"/>
        </w:rPr>
        <w:t xml:space="preserve"> over expression and restoration of phagocytic </w:t>
      </w:r>
      <w:r w:rsidR="005C604E" w:rsidRPr="00D517DC">
        <w:rPr>
          <w:sz w:val="16"/>
          <w:szCs w:val="16"/>
        </w:rPr>
        <w:t>activities</w:t>
      </w:r>
      <w:r w:rsidR="005C604E">
        <w:rPr>
          <w:sz w:val="16"/>
          <w:szCs w:val="16"/>
        </w:rPr>
        <w:t xml:space="preserve"> of</w:t>
      </w:r>
      <w:r w:rsidR="0029396F">
        <w:rPr>
          <w:sz w:val="16"/>
          <w:szCs w:val="16"/>
        </w:rPr>
        <w:t xml:space="preserve"> macrophages</w:t>
      </w:r>
      <w:r w:rsidRPr="00D517DC">
        <w:rPr>
          <w:sz w:val="16"/>
          <w:szCs w:val="16"/>
        </w:rPr>
        <w:t xml:space="preserve">. </w:t>
      </w:r>
    </w:p>
    <w:p w:rsidR="00AE3E37" w:rsidRPr="00A8568F" w:rsidRDefault="00A9710C" w:rsidP="00A8568F">
      <w:pPr>
        <w:pStyle w:val="BodyText"/>
        <w:spacing w:before="90" w:line="280" w:lineRule="auto"/>
        <w:jc w:val="both"/>
        <w:rPr>
          <w:sz w:val="16"/>
          <w:szCs w:val="16"/>
        </w:rPr>
      </w:pPr>
      <w:r w:rsidRPr="00D517DC">
        <w:rPr>
          <w:b/>
          <w:sz w:val="16"/>
          <w:szCs w:val="16"/>
        </w:rPr>
        <w:t>Conclusion &amp; Significance:</w:t>
      </w:r>
      <w:r w:rsidRPr="00D517DC">
        <w:rPr>
          <w:sz w:val="16"/>
          <w:szCs w:val="16"/>
        </w:rPr>
        <w:t xml:space="preserve"> </w:t>
      </w:r>
      <w:r w:rsidR="00880057" w:rsidRPr="00D517DC">
        <w:rPr>
          <w:sz w:val="16"/>
          <w:szCs w:val="16"/>
        </w:rPr>
        <w:t>Overall, our results suggest that WA steroidal lactone derived from </w:t>
      </w:r>
      <w:r w:rsidR="00880057" w:rsidRPr="00D517DC">
        <w:rPr>
          <w:i/>
          <w:iCs/>
          <w:sz w:val="16"/>
          <w:szCs w:val="16"/>
        </w:rPr>
        <w:t>WS</w:t>
      </w:r>
      <w:r w:rsidR="00880057" w:rsidRPr="00D517DC">
        <w:rPr>
          <w:sz w:val="16"/>
          <w:szCs w:val="16"/>
        </w:rPr>
        <w:t xml:space="preserve"> one of medicinal plant of solanaceae family has immunomodulatory activities. It could be concluded that WA and WS have antioxidant and anti-inflammatory properties against ZnO NPs generated oxidative stress. Our </w:t>
      </w:r>
      <w:r w:rsidR="0029396F">
        <w:rPr>
          <w:sz w:val="16"/>
          <w:szCs w:val="16"/>
        </w:rPr>
        <w:t>study</w:t>
      </w:r>
      <w:r w:rsidR="0029396F" w:rsidRPr="00D517DC">
        <w:rPr>
          <w:sz w:val="16"/>
          <w:szCs w:val="16"/>
        </w:rPr>
        <w:t xml:space="preserve"> also</w:t>
      </w:r>
      <w:r w:rsidR="00880057" w:rsidRPr="00D517DC">
        <w:rPr>
          <w:sz w:val="16"/>
          <w:szCs w:val="16"/>
        </w:rPr>
        <w:t xml:space="preserve"> imply that administration of WA and WS may show beneficial effects in restoring macrophages activity on the ZnO NPs mediated cytotoxic effect in male </w:t>
      </w:r>
      <w:r w:rsidR="00880057" w:rsidRPr="00D517DC">
        <w:rPr>
          <w:i/>
          <w:iCs/>
          <w:sz w:val="16"/>
          <w:szCs w:val="16"/>
        </w:rPr>
        <w:t>Balb</w:t>
      </w:r>
      <w:r w:rsidR="00880057" w:rsidRPr="00D517DC">
        <w:rPr>
          <w:sz w:val="16"/>
          <w:szCs w:val="16"/>
        </w:rPr>
        <w:t>/</w:t>
      </w:r>
      <w:r w:rsidR="00880057" w:rsidRPr="00D517DC">
        <w:rPr>
          <w:i/>
          <w:iCs/>
          <w:sz w:val="16"/>
          <w:szCs w:val="16"/>
        </w:rPr>
        <w:t>c mice</w:t>
      </w:r>
      <w:r w:rsidR="00880057" w:rsidRPr="00D517DC">
        <w:rPr>
          <w:sz w:val="16"/>
          <w:szCs w:val="16"/>
        </w:rPr>
        <w:t>. The immuno-protective properties of WS defend the cells from oxidant injury induced through ZnO NPs. It means WS could be used as a phytomedicine in ZnO NPs induced toxicity; further ZnO NPs are toxic only at 50 mg/kg/b.w as it was indicated in our work in mice model.</w:t>
      </w:r>
      <w:r w:rsidRPr="00D517DC">
        <w:rPr>
          <w:sz w:val="16"/>
          <w:szCs w:val="16"/>
        </w:rPr>
        <w:t>.</w:t>
      </w:r>
      <w:r>
        <w:br w:type="column"/>
      </w:r>
      <w:r w:rsidRPr="00A8568F">
        <w:rPr>
          <w:rFonts w:ascii="Arial" w:hAnsi="Arial" w:cs="Arial"/>
          <w:color w:val="BF5A14"/>
        </w:rPr>
        <w:lastRenderedPageBreak/>
        <w:t>Image</w:t>
      </w:r>
      <w:r w:rsidR="00F51CB4" w:rsidRPr="00F51CB4">
        <w:rPr>
          <w:noProof/>
          <w:color w:val="BF5A14"/>
          <w:lang w:bidi="hi-IN"/>
        </w:rPr>
        <w:drawing>
          <wp:inline distT="0" distB="0" distL="0" distR="0">
            <wp:extent cx="3367887" cy="1477670"/>
            <wp:effectExtent l="19050" t="0" r="3963" b="0"/>
            <wp:docPr id="2" name="Picture 2" descr="C:\Users\jitendra\Desktop\OCT graphical abstract.tif"/>
            <wp:cNvGraphicFramePr/>
            <a:graphic xmlns:a="http://schemas.openxmlformats.org/drawingml/2006/main">
              <a:graphicData uri="http://schemas.openxmlformats.org/drawingml/2006/picture">
                <pic:pic xmlns:pic="http://schemas.openxmlformats.org/drawingml/2006/picture">
                  <pic:nvPicPr>
                    <pic:cNvPr id="2050" name="Picture 2" descr="C:\Users\jitendra\Desktop\OCT graphical abstract.tif"/>
                    <pic:cNvPicPr>
                      <a:picLocks noChangeAspect="1" noChangeArrowheads="1"/>
                    </pic:cNvPicPr>
                  </pic:nvPicPr>
                  <pic:blipFill>
                    <a:blip r:embed="rId9" cstate="print"/>
                    <a:srcRect l="2344" t="4166" b="9375"/>
                    <a:stretch>
                      <a:fillRect/>
                    </a:stretch>
                  </pic:blipFill>
                  <pic:spPr bwMode="auto">
                    <a:xfrm>
                      <a:off x="0" y="0"/>
                      <a:ext cx="3372278" cy="1479597"/>
                    </a:xfrm>
                    <a:prstGeom prst="rect">
                      <a:avLst/>
                    </a:prstGeom>
                    <a:noFill/>
                  </pic:spPr>
                </pic:pic>
              </a:graphicData>
            </a:graphic>
          </wp:inline>
        </w:drawing>
      </w:r>
    </w:p>
    <w:p w:rsidR="00AE3E37" w:rsidRPr="007C7C54" w:rsidRDefault="00F51CB4" w:rsidP="00F51CB4">
      <w:pPr>
        <w:pStyle w:val="BodyText"/>
        <w:spacing w:before="2"/>
        <w:jc w:val="both"/>
        <w:rPr>
          <w:rFonts w:asciiTheme="minorHAnsi" w:hAnsiTheme="minorHAnsi" w:cstheme="minorHAnsi"/>
          <w:bCs/>
          <w:color w:val="000000" w:themeColor="text1"/>
          <w:vertAlign w:val="superscript"/>
        </w:rPr>
      </w:pPr>
      <w:r w:rsidRPr="007C7C54">
        <w:rPr>
          <w:rFonts w:asciiTheme="minorHAnsi" w:hAnsiTheme="minorHAnsi" w:cstheme="minorHAnsi"/>
          <w:bCs/>
          <w:color w:val="000000" w:themeColor="text1"/>
          <w:vertAlign w:val="superscript"/>
        </w:rPr>
        <w:t>Mechanism of toxicity induced by Zinc oxide nanoparticles ZnO NPs and immunomodulatory protective effects of </w:t>
      </w:r>
      <w:r w:rsidRPr="007C7C54">
        <w:rPr>
          <w:rFonts w:asciiTheme="minorHAnsi" w:hAnsiTheme="minorHAnsi" w:cstheme="minorHAnsi"/>
          <w:bCs/>
          <w:i/>
          <w:iCs/>
          <w:color w:val="000000" w:themeColor="text1"/>
          <w:vertAlign w:val="superscript"/>
        </w:rPr>
        <w:t>Withania somnifera</w:t>
      </w:r>
      <w:r w:rsidRPr="007C7C54">
        <w:rPr>
          <w:rFonts w:asciiTheme="minorHAnsi" w:hAnsiTheme="minorHAnsi" w:cstheme="minorHAnsi"/>
          <w:bCs/>
          <w:color w:val="000000" w:themeColor="text1"/>
          <w:vertAlign w:val="superscript"/>
        </w:rPr>
        <w:t> extract (WS) and Witha</w:t>
      </w:r>
      <w:r w:rsidR="0029396F" w:rsidRPr="007C7C54">
        <w:rPr>
          <w:rFonts w:asciiTheme="minorHAnsi" w:hAnsiTheme="minorHAnsi" w:cstheme="minorHAnsi"/>
          <w:bCs/>
          <w:color w:val="000000" w:themeColor="text1"/>
          <w:vertAlign w:val="superscript"/>
        </w:rPr>
        <w:t>ferin A</w:t>
      </w:r>
      <w:r w:rsidR="00954EFD" w:rsidRPr="007C7C54">
        <w:rPr>
          <w:rFonts w:asciiTheme="minorHAnsi" w:hAnsiTheme="minorHAnsi" w:cstheme="minorHAnsi"/>
          <w:bCs/>
          <w:color w:val="000000" w:themeColor="text1"/>
          <w:vertAlign w:val="superscript"/>
        </w:rPr>
        <w:t xml:space="preserve"> </w:t>
      </w:r>
      <w:r w:rsidRPr="007C7C54">
        <w:rPr>
          <w:rFonts w:asciiTheme="minorHAnsi" w:hAnsiTheme="minorHAnsi" w:cstheme="minorHAnsi"/>
          <w:bCs/>
          <w:color w:val="000000" w:themeColor="text1"/>
          <w:vertAlign w:val="superscript"/>
        </w:rPr>
        <w:t xml:space="preserve">(WA), in </w:t>
      </w:r>
      <w:r w:rsidRPr="007C7C54">
        <w:rPr>
          <w:rFonts w:asciiTheme="minorHAnsi" w:hAnsiTheme="minorHAnsi" w:cstheme="minorHAnsi"/>
          <w:bCs/>
          <w:i/>
          <w:iCs/>
          <w:color w:val="000000" w:themeColor="text1"/>
          <w:vertAlign w:val="superscript"/>
        </w:rPr>
        <w:t>Balb/c mice</w:t>
      </w:r>
      <w:r w:rsidRPr="007C7C54">
        <w:rPr>
          <w:rFonts w:asciiTheme="minorHAnsi" w:hAnsiTheme="minorHAnsi" w:cstheme="minorHAnsi"/>
          <w:bCs/>
          <w:color w:val="000000" w:themeColor="text1"/>
          <w:vertAlign w:val="superscript"/>
        </w:rPr>
        <w:t xml:space="preserve"> modal of peritoneal macrophages. Red arrows: effect of ZnO NPs independently leads to ROS production </w:t>
      </w:r>
      <w:r w:rsidR="0029396F" w:rsidRPr="007C7C54">
        <w:rPr>
          <w:rFonts w:asciiTheme="minorHAnsi" w:hAnsiTheme="minorHAnsi" w:cstheme="minorHAnsi"/>
          <w:bCs/>
          <w:color w:val="000000" w:themeColor="text1"/>
          <w:vertAlign w:val="superscript"/>
        </w:rPr>
        <w:t>which attenuated the phagocytosis of yeast by macrophages through, up-regulation of TLR6 and down-regulation of arginase gene expression?</w:t>
      </w:r>
      <w:r w:rsidRPr="007C7C54">
        <w:rPr>
          <w:rFonts w:asciiTheme="minorHAnsi" w:hAnsiTheme="minorHAnsi" w:cstheme="minorHAnsi"/>
          <w:bCs/>
          <w:color w:val="000000" w:themeColor="text1"/>
          <w:vertAlign w:val="superscript"/>
        </w:rPr>
        <w:t xml:space="preserve"> Green arrows: co-treatment, Impact of </w:t>
      </w:r>
      <w:r w:rsidRPr="007C7C54">
        <w:rPr>
          <w:rFonts w:asciiTheme="minorHAnsi" w:hAnsiTheme="minorHAnsi" w:cstheme="minorHAnsi"/>
          <w:bCs/>
          <w:i/>
          <w:iCs/>
          <w:color w:val="000000" w:themeColor="text1"/>
          <w:vertAlign w:val="superscript"/>
        </w:rPr>
        <w:t>Withania somnifera</w:t>
      </w:r>
      <w:r w:rsidRPr="007C7C54">
        <w:rPr>
          <w:rFonts w:asciiTheme="minorHAnsi" w:hAnsiTheme="minorHAnsi" w:cstheme="minorHAnsi"/>
          <w:bCs/>
          <w:color w:val="000000" w:themeColor="text1"/>
          <w:vertAlign w:val="superscript"/>
        </w:rPr>
        <w:t> extract with</w:t>
      </w:r>
      <w:r w:rsidR="0029396F" w:rsidRPr="007C7C54">
        <w:rPr>
          <w:rFonts w:asciiTheme="minorHAnsi" w:hAnsiTheme="minorHAnsi" w:cstheme="minorHAnsi"/>
          <w:bCs/>
          <w:color w:val="000000" w:themeColor="text1"/>
          <w:vertAlign w:val="superscript"/>
        </w:rPr>
        <w:t xml:space="preserve"> zinc oxide nanoparticles (WS+ZnONPs), Withaferin</w:t>
      </w:r>
      <w:r w:rsidRPr="007C7C54">
        <w:rPr>
          <w:rFonts w:asciiTheme="minorHAnsi" w:hAnsiTheme="minorHAnsi" w:cstheme="minorHAnsi"/>
          <w:bCs/>
          <w:color w:val="000000" w:themeColor="text1"/>
          <w:vertAlign w:val="superscript"/>
        </w:rPr>
        <w:t xml:space="preserve"> A along with</w:t>
      </w:r>
      <w:r w:rsidR="0029396F" w:rsidRPr="007C7C54">
        <w:rPr>
          <w:rFonts w:asciiTheme="minorHAnsi" w:hAnsiTheme="minorHAnsi" w:cstheme="minorHAnsi"/>
          <w:bCs/>
          <w:color w:val="000000" w:themeColor="text1"/>
          <w:vertAlign w:val="superscript"/>
        </w:rPr>
        <w:t xml:space="preserve"> zinc oxide nanoparticles (WA+ZnONPs) </w:t>
      </w:r>
      <w:r w:rsidRPr="007C7C54">
        <w:rPr>
          <w:rFonts w:asciiTheme="minorHAnsi" w:hAnsiTheme="minorHAnsi" w:cstheme="minorHAnsi"/>
          <w:bCs/>
          <w:color w:val="000000" w:themeColor="text1"/>
          <w:vertAlign w:val="superscript"/>
        </w:rPr>
        <w:t>enhance phagocytic activity by counteracting mechanism of ZnO NPs toxicity. Black arrows: increasing or decreasing effects</w:t>
      </w:r>
    </w:p>
    <w:p w:rsidR="005973B9" w:rsidRDefault="005973B9" w:rsidP="005973B9">
      <w:pPr>
        <w:spacing w:line="204" w:lineRule="exact"/>
        <w:rPr>
          <w:rFonts w:ascii="Arial"/>
          <w:b/>
          <w:sz w:val="20"/>
        </w:rPr>
      </w:pPr>
      <w:r>
        <w:rPr>
          <w:rFonts w:ascii="Arial"/>
          <w:b/>
          <w:color w:val="BF5A14"/>
          <w:sz w:val="20"/>
        </w:rPr>
        <w:t>Recent Publications (minimum 5)</w:t>
      </w:r>
    </w:p>
    <w:p w:rsidR="00D466A2" w:rsidRPr="007C7C54" w:rsidRDefault="00B01260" w:rsidP="00D466A2">
      <w:pPr>
        <w:pStyle w:val="BodyText"/>
        <w:numPr>
          <w:ilvl w:val="0"/>
          <w:numId w:val="5"/>
        </w:numPr>
        <w:spacing w:before="85"/>
        <w:ind w:right="138"/>
        <w:rPr>
          <w:rFonts w:asciiTheme="minorHAnsi" w:eastAsia="Calibri" w:hAnsiTheme="minorHAnsi" w:cstheme="minorHAnsi"/>
          <w:color w:val="31849B" w:themeColor="accent5" w:themeShade="BF"/>
          <w:sz w:val="16"/>
          <w:szCs w:val="16"/>
        </w:rPr>
      </w:pPr>
      <w:r w:rsidRPr="007C7C54">
        <w:rPr>
          <w:rFonts w:asciiTheme="minorHAnsi" w:eastAsia="Calibri" w:hAnsiTheme="minorHAnsi" w:cstheme="minorHAnsi"/>
          <w:color w:val="31849B" w:themeColor="accent5" w:themeShade="BF"/>
          <w:sz w:val="16"/>
          <w:szCs w:val="16"/>
        </w:rPr>
        <w:t xml:space="preserve">Kumar, J., Mitra, M.D., Hussain, A. and Kaul, G., 2019. Exploration of immunomodulatory and protective effect of Withania somnifera on trace metal oxide (zinc oxide nanoparticles) induced toxicity in Balb/c mice. </w:t>
      </w:r>
      <w:r w:rsidRPr="007C7C54">
        <w:rPr>
          <w:rFonts w:asciiTheme="minorHAnsi" w:eastAsia="Calibri" w:hAnsiTheme="minorHAnsi" w:cstheme="minorHAnsi"/>
          <w:i/>
          <w:iCs/>
          <w:color w:val="31849B" w:themeColor="accent5" w:themeShade="BF"/>
          <w:sz w:val="16"/>
          <w:szCs w:val="16"/>
        </w:rPr>
        <w:t>Molecular biology reports</w:t>
      </w:r>
      <w:r w:rsidRPr="007C7C54">
        <w:rPr>
          <w:rFonts w:asciiTheme="minorHAnsi" w:eastAsia="Calibri" w:hAnsiTheme="minorHAnsi" w:cstheme="minorHAnsi"/>
          <w:color w:val="31849B" w:themeColor="accent5" w:themeShade="BF"/>
          <w:sz w:val="16"/>
          <w:szCs w:val="16"/>
        </w:rPr>
        <w:t xml:space="preserve">, </w:t>
      </w:r>
      <w:r w:rsidRPr="007C7C54">
        <w:rPr>
          <w:rFonts w:asciiTheme="minorHAnsi" w:eastAsia="Calibri" w:hAnsiTheme="minorHAnsi" w:cstheme="minorHAnsi"/>
          <w:i/>
          <w:iCs/>
          <w:color w:val="31849B" w:themeColor="accent5" w:themeShade="BF"/>
          <w:sz w:val="16"/>
          <w:szCs w:val="16"/>
        </w:rPr>
        <w:t>46</w:t>
      </w:r>
      <w:r w:rsidRPr="007C7C54">
        <w:rPr>
          <w:rFonts w:asciiTheme="minorHAnsi" w:eastAsia="Calibri" w:hAnsiTheme="minorHAnsi" w:cstheme="minorHAnsi"/>
          <w:color w:val="31849B" w:themeColor="accent5" w:themeShade="BF"/>
          <w:sz w:val="16"/>
          <w:szCs w:val="16"/>
        </w:rPr>
        <w:t xml:space="preserve">(2), pp.2447-2459. doi: 10.1007/s11033-019-04705-x.  </w:t>
      </w:r>
    </w:p>
    <w:p w:rsidR="00ED43CC" w:rsidRPr="007C7C54" w:rsidRDefault="00B01260" w:rsidP="00D466A2">
      <w:pPr>
        <w:pStyle w:val="BodyText"/>
        <w:numPr>
          <w:ilvl w:val="0"/>
          <w:numId w:val="5"/>
        </w:numPr>
        <w:spacing w:before="85"/>
        <w:ind w:right="138"/>
        <w:rPr>
          <w:rFonts w:asciiTheme="minorHAnsi" w:eastAsia="Calibri" w:hAnsiTheme="minorHAnsi" w:cstheme="minorHAnsi"/>
          <w:color w:val="31849B" w:themeColor="accent5" w:themeShade="BF"/>
          <w:sz w:val="16"/>
          <w:szCs w:val="16"/>
        </w:rPr>
      </w:pPr>
      <w:r w:rsidRPr="007C7C54">
        <w:rPr>
          <w:rFonts w:asciiTheme="minorHAnsi" w:eastAsia="Calibri" w:hAnsiTheme="minorHAnsi" w:cstheme="minorHAnsi"/>
          <w:color w:val="31849B" w:themeColor="accent5" w:themeShade="BF"/>
          <w:sz w:val="16"/>
          <w:szCs w:val="16"/>
        </w:rPr>
        <w:t xml:space="preserve">Kumar. J, Sonia, Murlidhar Mitra, Vaibhav Purwar, Kavita Rani, Hanuman P. Yadav and Gautam Kaul. 2018. Zinc Oxide Nano Particle (ZNO NPs) and Innate Immunity: New Perspectives in Immunotoxicity. </w:t>
      </w:r>
      <w:r w:rsidRPr="007C7C54">
        <w:rPr>
          <w:rFonts w:asciiTheme="minorHAnsi" w:eastAsia="Calibri" w:hAnsiTheme="minorHAnsi" w:cstheme="minorHAnsi"/>
          <w:i/>
          <w:iCs/>
          <w:color w:val="31849B" w:themeColor="accent5" w:themeShade="BF"/>
          <w:sz w:val="16"/>
          <w:szCs w:val="16"/>
        </w:rPr>
        <w:t xml:space="preserve">Int.J.Curr.Microbiol.App.Sci. 7(07): 1865-1878. </w:t>
      </w:r>
      <w:r w:rsidRPr="007C7C54">
        <w:rPr>
          <w:rFonts w:asciiTheme="minorHAnsi" w:eastAsia="Calibri" w:hAnsiTheme="minorHAnsi" w:cstheme="minorHAnsi"/>
          <w:color w:val="31849B" w:themeColor="accent5" w:themeShade="BF"/>
          <w:sz w:val="16"/>
          <w:szCs w:val="16"/>
        </w:rPr>
        <w:t>doi: https://doi.org/10.20546/ijcmas.2018.707.222</w:t>
      </w:r>
      <w:r w:rsidR="00D517DC" w:rsidRPr="007C7C54">
        <w:rPr>
          <w:rFonts w:asciiTheme="minorHAnsi" w:eastAsia="Calibri" w:hAnsiTheme="minorHAnsi" w:cstheme="minorHAnsi"/>
          <w:color w:val="31849B" w:themeColor="accent5" w:themeShade="BF"/>
          <w:sz w:val="16"/>
          <w:szCs w:val="16"/>
        </w:rPr>
        <w:t>.</w:t>
      </w:r>
    </w:p>
    <w:p w:rsidR="00ED43CC" w:rsidRPr="007C7C54" w:rsidRDefault="00B01260" w:rsidP="00D466A2">
      <w:pPr>
        <w:pStyle w:val="BodyText"/>
        <w:numPr>
          <w:ilvl w:val="0"/>
          <w:numId w:val="5"/>
        </w:numPr>
        <w:spacing w:before="85"/>
        <w:ind w:right="138"/>
        <w:rPr>
          <w:rFonts w:asciiTheme="minorHAnsi" w:eastAsia="Calibri" w:hAnsiTheme="minorHAnsi" w:cstheme="minorHAnsi"/>
          <w:color w:val="31849B" w:themeColor="accent5" w:themeShade="BF"/>
          <w:sz w:val="16"/>
          <w:szCs w:val="16"/>
        </w:rPr>
      </w:pPr>
      <w:r w:rsidRPr="007C7C54">
        <w:rPr>
          <w:rFonts w:asciiTheme="minorHAnsi" w:eastAsia="Calibri" w:hAnsiTheme="minorHAnsi" w:cstheme="minorHAnsi"/>
          <w:color w:val="31849B" w:themeColor="accent5" w:themeShade="BF"/>
          <w:sz w:val="16"/>
          <w:szCs w:val="16"/>
        </w:rPr>
        <w:t xml:space="preserve">Purwar, V., Cherryl, D.M., Singh, S., Kumar, J., Khare, A. and Thorat, G., 2019. Assessment of haematological parameters during different climatic seasons. </w:t>
      </w:r>
      <w:r w:rsidRPr="007C7C54">
        <w:rPr>
          <w:rFonts w:asciiTheme="minorHAnsi" w:eastAsia="Calibri" w:hAnsiTheme="minorHAnsi" w:cstheme="minorHAnsi"/>
          <w:i/>
          <w:iCs/>
          <w:color w:val="31849B" w:themeColor="accent5" w:themeShade="BF"/>
          <w:sz w:val="16"/>
          <w:szCs w:val="16"/>
        </w:rPr>
        <w:t>Journal of Pharmacognosy and Phytochemistry</w:t>
      </w:r>
      <w:r w:rsidRPr="007C7C54">
        <w:rPr>
          <w:rFonts w:asciiTheme="minorHAnsi" w:eastAsia="Calibri" w:hAnsiTheme="minorHAnsi" w:cstheme="minorHAnsi"/>
          <w:color w:val="31849B" w:themeColor="accent5" w:themeShade="BF"/>
          <w:sz w:val="16"/>
          <w:szCs w:val="16"/>
        </w:rPr>
        <w:t xml:space="preserve">, </w:t>
      </w:r>
      <w:r w:rsidRPr="007C7C54">
        <w:rPr>
          <w:rFonts w:asciiTheme="minorHAnsi" w:eastAsia="Calibri" w:hAnsiTheme="minorHAnsi" w:cstheme="minorHAnsi"/>
          <w:i/>
          <w:iCs/>
          <w:color w:val="31849B" w:themeColor="accent5" w:themeShade="BF"/>
          <w:sz w:val="16"/>
          <w:szCs w:val="16"/>
        </w:rPr>
        <w:t>8</w:t>
      </w:r>
      <w:r w:rsidRPr="007C7C54">
        <w:rPr>
          <w:rFonts w:asciiTheme="minorHAnsi" w:eastAsia="Calibri" w:hAnsiTheme="minorHAnsi" w:cstheme="minorHAnsi"/>
          <w:color w:val="31849B" w:themeColor="accent5" w:themeShade="BF"/>
          <w:sz w:val="16"/>
          <w:szCs w:val="16"/>
        </w:rPr>
        <w:t xml:space="preserve">(1), pp.1741-1744. doI: http://dx.doi.org/10.22271/phyto. </w:t>
      </w:r>
    </w:p>
    <w:p w:rsidR="005973B9" w:rsidRPr="007C7C54" w:rsidRDefault="00B01260" w:rsidP="00D466A2">
      <w:pPr>
        <w:pStyle w:val="BodyText"/>
        <w:numPr>
          <w:ilvl w:val="0"/>
          <w:numId w:val="5"/>
        </w:numPr>
        <w:spacing w:before="85"/>
        <w:ind w:right="138"/>
        <w:rPr>
          <w:rFonts w:asciiTheme="minorHAnsi" w:eastAsia="Calibri" w:hAnsiTheme="minorHAnsi" w:cstheme="minorHAnsi"/>
          <w:color w:val="31849B" w:themeColor="accent5" w:themeShade="BF"/>
          <w:sz w:val="16"/>
          <w:szCs w:val="16"/>
        </w:rPr>
      </w:pPr>
      <w:r w:rsidRPr="007C7C54">
        <w:rPr>
          <w:rFonts w:asciiTheme="minorHAnsi" w:eastAsia="Calibri" w:hAnsiTheme="minorHAnsi" w:cstheme="minorHAnsi"/>
          <w:color w:val="31849B" w:themeColor="accent5" w:themeShade="BF"/>
          <w:sz w:val="16"/>
          <w:szCs w:val="16"/>
        </w:rPr>
        <w:t xml:space="preserve">Avinesh Sharma, Chander Datt, Ritika Gupta, Jitendra Kumar, Shambhvi, AK Tyagi and Veena Mani., 2019. Effect of supplementation of </w:t>
      </w:r>
      <w:r w:rsidRPr="007C7C54">
        <w:rPr>
          <w:rFonts w:asciiTheme="minorHAnsi" w:eastAsia="Calibri" w:hAnsiTheme="minorHAnsi" w:cstheme="minorHAnsi"/>
          <w:i/>
          <w:iCs/>
          <w:color w:val="31849B" w:themeColor="accent5" w:themeShade="BF"/>
          <w:sz w:val="16"/>
          <w:szCs w:val="16"/>
        </w:rPr>
        <w:t xml:space="preserve">Kappaphycus alvarezii </w:t>
      </w:r>
      <w:r w:rsidRPr="007C7C54">
        <w:rPr>
          <w:rFonts w:asciiTheme="minorHAnsi" w:eastAsia="Calibri" w:hAnsiTheme="minorHAnsi" w:cstheme="minorHAnsi"/>
          <w:color w:val="31849B" w:themeColor="accent5" w:themeShade="BF"/>
          <w:sz w:val="16"/>
          <w:szCs w:val="16"/>
        </w:rPr>
        <w:t xml:space="preserve">based seaweed product on rumen fermentation parameters under </w:t>
      </w:r>
      <w:r w:rsidRPr="007C7C54">
        <w:rPr>
          <w:rFonts w:asciiTheme="minorHAnsi" w:eastAsia="Calibri" w:hAnsiTheme="minorHAnsi" w:cstheme="minorHAnsi"/>
          <w:i/>
          <w:iCs/>
          <w:color w:val="31849B" w:themeColor="accent5" w:themeShade="BF"/>
          <w:sz w:val="16"/>
          <w:szCs w:val="16"/>
        </w:rPr>
        <w:t xml:space="preserve">in vitro </w:t>
      </w:r>
      <w:r w:rsidRPr="007C7C54">
        <w:rPr>
          <w:rFonts w:asciiTheme="minorHAnsi" w:eastAsia="Calibri" w:hAnsiTheme="minorHAnsi" w:cstheme="minorHAnsi"/>
          <w:color w:val="31849B" w:themeColor="accent5" w:themeShade="BF"/>
          <w:sz w:val="16"/>
          <w:szCs w:val="16"/>
        </w:rPr>
        <w:t>condition</w:t>
      </w:r>
      <w:r w:rsidRPr="007C7C54">
        <w:rPr>
          <w:rFonts w:asciiTheme="minorHAnsi" w:eastAsia="Calibri" w:hAnsiTheme="minorHAnsi" w:cstheme="minorHAnsi"/>
          <w:i/>
          <w:iCs/>
          <w:color w:val="31849B" w:themeColor="accent5" w:themeShade="BF"/>
          <w:sz w:val="16"/>
          <w:szCs w:val="16"/>
        </w:rPr>
        <w:t>. Indian J Dairy Sci 72 (5</w:t>
      </w:r>
      <w:r w:rsidRPr="007C7C54">
        <w:rPr>
          <w:rFonts w:asciiTheme="minorHAnsi" w:eastAsia="Calibri" w:hAnsiTheme="minorHAnsi" w:cstheme="minorHAnsi"/>
          <w:color w:val="31849B" w:themeColor="accent5" w:themeShade="BF"/>
          <w:sz w:val="16"/>
          <w:szCs w:val="16"/>
        </w:rPr>
        <w:t>): 514-517. doi.org/10.33785/IJDS.2019.v72i05.008.)</w:t>
      </w:r>
    </w:p>
    <w:p w:rsidR="00C67D38" w:rsidRPr="00954EFD" w:rsidRDefault="00C67D38" w:rsidP="00C67D38">
      <w:pPr>
        <w:tabs>
          <w:tab w:val="left" w:pos="384"/>
        </w:tabs>
        <w:ind w:right="117"/>
        <w:jc w:val="center"/>
        <w:rPr>
          <w:rFonts w:ascii="Arial" w:hAnsi="Arial" w:cs="Arial"/>
          <w:noProof/>
          <w:color w:val="31849B" w:themeColor="accent5" w:themeShade="BF"/>
          <w:sz w:val="12"/>
          <w:szCs w:val="12"/>
          <w:lang w:val="en-IN" w:eastAsia="en-IN"/>
        </w:rPr>
      </w:pPr>
    </w:p>
    <w:p w:rsidR="00AE3E37" w:rsidRPr="00954EFD" w:rsidRDefault="00AE3E37" w:rsidP="00C67D38">
      <w:pPr>
        <w:spacing w:line="200" w:lineRule="exact"/>
        <w:jc w:val="center"/>
        <w:rPr>
          <w:rFonts w:ascii="Arial" w:hAnsi="Arial" w:cs="Arial"/>
          <w:color w:val="31849B" w:themeColor="accent5" w:themeShade="BF"/>
          <w:sz w:val="12"/>
          <w:szCs w:val="12"/>
        </w:rPr>
        <w:sectPr w:rsidR="00AE3E37" w:rsidRPr="00954EFD">
          <w:type w:val="continuous"/>
          <w:pgSz w:w="11910" w:h="16840"/>
          <w:pgMar w:top="1740" w:right="600" w:bottom="840" w:left="620" w:header="720" w:footer="720" w:gutter="0"/>
          <w:cols w:num="2" w:space="720" w:equalWidth="0">
            <w:col w:w="5214" w:space="138"/>
            <w:col w:w="5338"/>
          </w:cols>
        </w:sectPr>
      </w:pPr>
    </w:p>
    <w:p w:rsidR="00AE3E37" w:rsidRPr="00954EFD" w:rsidRDefault="001A479D" w:rsidP="00C67D38">
      <w:pPr>
        <w:pStyle w:val="BodyText"/>
        <w:jc w:val="center"/>
        <w:rPr>
          <w:rFonts w:ascii="Arial" w:hAnsi="Arial" w:cs="Arial"/>
          <w:color w:val="31849B" w:themeColor="accent5" w:themeShade="BF"/>
          <w:sz w:val="12"/>
          <w:szCs w:val="12"/>
        </w:rPr>
      </w:pPr>
      <w:r w:rsidRPr="001A479D">
        <w:rPr>
          <w:rFonts w:ascii="Arial" w:hAnsi="Arial" w:cs="Arial"/>
          <w:noProof/>
          <w:color w:val="31849B" w:themeColor="accent5" w:themeShade="BF"/>
          <w:sz w:val="12"/>
          <w:szCs w:val="12"/>
          <w:lang w:val="en-IN" w:eastAsia="en-IN"/>
        </w:rPr>
      </w:r>
      <w:r w:rsidRPr="001A479D">
        <w:rPr>
          <w:rFonts w:ascii="Arial" w:hAnsi="Arial" w:cs="Arial"/>
          <w:noProof/>
          <w:color w:val="31849B" w:themeColor="accent5" w:themeShade="BF"/>
          <w:sz w:val="12"/>
          <w:szCs w:val="12"/>
          <w:lang w:val="en-IN" w:eastAsia="en-IN"/>
        </w:rPr>
        <w:pict>
          <v:group id="Group 4" o:spid="_x0000_s1031" style="width:235.75pt;height:3.8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E3E37">
      <w:pPr>
        <w:pStyle w:val="BodyText"/>
        <w:spacing w:line="40" w:lineRule="exact"/>
        <w:ind w:left="2202"/>
        <w:rPr>
          <w:rFonts w:ascii="Calibri"/>
          <w:sz w:val="4"/>
        </w:rPr>
      </w:pPr>
    </w:p>
    <w:p w:rsidR="00AE3E37" w:rsidRDefault="000D0805" w:rsidP="000D0805">
      <w:pPr>
        <w:spacing w:before="92"/>
        <w:ind w:right="4234"/>
        <w:rPr>
          <w:rFonts w:ascii="Arial"/>
        </w:rPr>
      </w:pPr>
      <w:r w:rsidRPr="000D0805">
        <w:rPr>
          <w:noProof/>
          <w:lang w:bidi="hi-IN"/>
        </w:rPr>
        <w:drawing>
          <wp:inline distT="0" distB="0" distL="0" distR="0">
            <wp:extent cx="317449" cy="307238"/>
            <wp:effectExtent l="19050" t="0" r="6401" b="0"/>
            <wp:docPr id="1" name="Picture 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 cstate="print"/>
                    <a:srcRect l="6512" t="5534" r="8827" b="11458"/>
                    <a:stretch>
                      <a:fillRect/>
                    </a:stretch>
                  </pic:blipFill>
                  <pic:spPr bwMode="auto">
                    <a:xfrm>
                      <a:off x="0" y="0"/>
                      <a:ext cx="318504" cy="308259"/>
                    </a:xfrm>
                    <a:prstGeom prst="rect">
                      <a:avLst/>
                    </a:prstGeom>
                    <a:noFill/>
                    <a:ln w="9525">
                      <a:noFill/>
                      <a:miter lim="800000"/>
                      <a:headEnd/>
                      <a:tailEnd/>
                    </a:ln>
                    <a:effectLst/>
                  </pic:spPr>
                </pic:pic>
              </a:graphicData>
            </a:graphic>
          </wp:inline>
        </w:drawing>
      </w:r>
      <w:r w:rsidR="00A9710C">
        <w:rPr>
          <w:rFonts w:ascii="Arial"/>
          <w:color w:val="BF5A14"/>
        </w:rPr>
        <w:t>Biography</w:t>
      </w:r>
      <w:r w:rsidR="00404E5B">
        <w:rPr>
          <w:rFonts w:ascii="Arial"/>
          <w:color w:val="BF5A14"/>
        </w:rPr>
        <w:t xml:space="preserve"> (150 word limit)</w:t>
      </w:r>
    </w:p>
    <w:p w:rsidR="00AE3E37" w:rsidRPr="000D0805" w:rsidRDefault="00FB4344" w:rsidP="007C7C54">
      <w:pPr>
        <w:spacing w:before="41" w:line="154" w:lineRule="exact"/>
        <w:ind w:right="231"/>
        <w:rPr>
          <w:rFonts w:ascii="Arial"/>
          <w:color w:val="0070C0"/>
          <w:sz w:val="14"/>
        </w:rPr>
      </w:pPr>
      <w:r w:rsidRPr="000D0805">
        <w:rPr>
          <w:rFonts w:ascii="Arial"/>
          <w:color w:val="0070C0"/>
          <w:sz w:val="14"/>
        </w:rPr>
        <w:t>Jitendra Kumar has his</w:t>
      </w:r>
      <w:r w:rsidR="00A9710C" w:rsidRPr="000D0805">
        <w:rPr>
          <w:rFonts w:ascii="Arial"/>
          <w:color w:val="0070C0"/>
          <w:sz w:val="14"/>
        </w:rPr>
        <w:t xml:space="preserve"> expertise in </w:t>
      </w:r>
      <w:r w:rsidR="005C604E" w:rsidRPr="000D0805">
        <w:rPr>
          <w:rFonts w:ascii="Arial"/>
          <w:color w:val="0070C0"/>
          <w:sz w:val="14"/>
        </w:rPr>
        <w:t>clinical and nanomaterials safety</w:t>
      </w:r>
      <w:r w:rsidR="00A9710C" w:rsidRPr="000D0805">
        <w:rPr>
          <w:rFonts w:ascii="Arial"/>
          <w:color w:val="0070C0"/>
          <w:sz w:val="14"/>
        </w:rPr>
        <w:t xml:space="preserve"> in improving the </w:t>
      </w:r>
      <w:r w:rsidRPr="000D0805">
        <w:rPr>
          <w:rFonts w:ascii="Arial"/>
          <w:color w:val="0070C0"/>
          <w:sz w:val="14"/>
        </w:rPr>
        <w:t>health and wellbeing. His</w:t>
      </w:r>
      <w:r w:rsidR="00A9710C" w:rsidRPr="000D0805">
        <w:rPr>
          <w:rFonts w:ascii="Arial"/>
          <w:color w:val="0070C0"/>
          <w:sz w:val="14"/>
        </w:rPr>
        <w:t xml:space="preserve"> </w:t>
      </w:r>
      <w:r w:rsidRPr="000D0805">
        <w:rPr>
          <w:rFonts w:ascii="Arial"/>
          <w:color w:val="0070C0"/>
          <w:sz w:val="14"/>
        </w:rPr>
        <w:t xml:space="preserve">animal study model based on </w:t>
      </w:r>
      <w:r w:rsidR="005C604E" w:rsidRPr="000D0805">
        <w:rPr>
          <w:rFonts w:ascii="Arial"/>
          <w:color w:val="0070C0"/>
          <w:sz w:val="14"/>
        </w:rPr>
        <w:t xml:space="preserve">expose to ZnO NPs along with WS and WA showed a valuable insight against nanomaterial complication and its possible remedy by using phytomedicine. He is also studied the nutritional and immunological impact </w:t>
      </w:r>
      <w:r w:rsidR="000D0805" w:rsidRPr="000D0805">
        <w:rPr>
          <w:rFonts w:ascii="Arial"/>
          <w:color w:val="0070C0"/>
          <w:sz w:val="14"/>
        </w:rPr>
        <w:t>of red algae in lactating dairy animal.</w:t>
      </w:r>
    </w:p>
    <w:p w:rsidR="00AE3E37" w:rsidRPr="00D466A2" w:rsidRDefault="001A479D" w:rsidP="000D0805">
      <w:pPr>
        <w:pStyle w:val="BodyText"/>
        <w:spacing w:before="2"/>
        <w:jc w:val="center"/>
        <w:rPr>
          <w:rFonts w:ascii="Arial"/>
          <w:color w:val="0070C0"/>
          <w:sz w:val="19"/>
        </w:rPr>
      </w:pPr>
      <w:r w:rsidRPr="001A479D">
        <w:rPr>
          <w:noProof/>
          <w:color w:val="0070C0"/>
          <w:lang w:val="en-IN" w:eastAsia="en-IN"/>
        </w:rPr>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0D0805" w:rsidRPr="00D466A2">
        <w:rPr>
          <w:rFonts w:ascii="Arial"/>
          <w:color w:val="0070C0"/>
          <w:sz w:val="19"/>
        </w:rPr>
        <w:t>Email:jitoperon@gmail.com</w:t>
      </w:r>
    </w:p>
    <w:p w:rsidR="00AE3E37" w:rsidRPr="0087071A" w:rsidRDefault="00A9710C" w:rsidP="00D517DC">
      <w:pPr>
        <w:spacing w:before="39"/>
        <w:rPr>
          <w:rFonts w:ascii="Minion Pro"/>
          <w:b/>
          <w:color w:val="E36C0A" w:themeColor="accent6" w:themeShade="BF"/>
          <w:sz w:val="20"/>
        </w:rPr>
      </w:pPr>
      <w:r w:rsidRPr="0087071A">
        <w:rPr>
          <w:rFonts w:ascii="Minion Pro"/>
          <w:b/>
          <w:color w:val="E36C0A" w:themeColor="accent6" w:themeShade="BF"/>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C67D3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107B" w:rsidRDefault="0058107B">
      <w:r>
        <w:separator/>
      </w:r>
    </w:p>
  </w:endnote>
  <w:endnote w:type="continuationSeparator" w:id="1">
    <w:p w:rsidR="0058107B" w:rsidRDefault="005810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A479D">
    <w:pPr>
      <w:pStyle w:val="BodyText"/>
      <w:spacing w:line="14" w:lineRule="auto"/>
      <w:rPr>
        <w:sz w:val="20"/>
      </w:rPr>
    </w:pPr>
    <w:r w:rsidRPr="001A479D">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A479D">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A479D">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107B" w:rsidRDefault="0058107B">
      <w:r>
        <w:separator/>
      </w:r>
    </w:p>
  </w:footnote>
  <w:footnote w:type="continuationSeparator" w:id="1">
    <w:p w:rsidR="0058107B" w:rsidRDefault="005810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A479D">
    <w:pPr>
      <w:pStyle w:val="BodyText"/>
      <w:spacing w:line="14" w:lineRule="auto"/>
      <w:rPr>
        <w:sz w:val="20"/>
      </w:rPr>
    </w:pPr>
    <w:r w:rsidRPr="001A479D">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A479D">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641AC9"/>
    <w:multiLevelType w:val="hybridMultilevel"/>
    <w:tmpl w:val="72583908"/>
    <w:lvl w:ilvl="0" w:tplc="F04AE318">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6750639"/>
    <w:multiLevelType w:val="hybridMultilevel"/>
    <w:tmpl w:val="C8085152"/>
    <w:lvl w:ilvl="0" w:tplc="18E45A7C">
      <w:start w:val="1"/>
      <w:numFmt w:val="decimal"/>
      <w:lvlText w:val="%1."/>
      <w:lvlJc w:val="left"/>
      <w:pPr>
        <w:tabs>
          <w:tab w:val="num" w:pos="720"/>
        </w:tabs>
        <w:ind w:left="720" w:hanging="360"/>
      </w:pPr>
    </w:lvl>
    <w:lvl w:ilvl="1" w:tplc="D0305ABC" w:tentative="1">
      <w:start w:val="1"/>
      <w:numFmt w:val="decimal"/>
      <w:lvlText w:val="%2."/>
      <w:lvlJc w:val="left"/>
      <w:pPr>
        <w:tabs>
          <w:tab w:val="num" w:pos="1440"/>
        </w:tabs>
        <w:ind w:left="1440" w:hanging="360"/>
      </w:pPr>
    </w:lvl>
    <w:lvl w:ilvl="2" w:tplc="7660A2CC" w:tentative="1">
      <w:start w:val="1"/>
      <w:numFmt w:val="decimal"/>
      <w:lvlText w:val="%3."/>
      <w:lvlJc w:val="left"/>
      <w:pPr>
        <w:tabs>
          <w:tab w:val="num" w:pos="2160"/>
        </w:tabs>
        <w:ind w:left="2160" w:hanging="360"/>
      </w:pPr>
    </w:lvl>
    <w:lvl w:ilvl="3" w:tplc="FBF21176" w:tentative="1">
      <w:start w:val="1"/>
      <w:numFmt w:val="decimal"/>
      <w:lvlText w:val="%4."/>
      <w:lvlJc w:val="left"/>
      <w:pPr>
        <w:tabs>
          <w:tab w:val="num" w:pos="2880"/>
        </w:tabs>
        <w:ind w:left="2880" w:hanging="360"/>
      </w:pPr>
    </w:lvl>
    <w:lvl w:ilvl="4" w:tplc="36E091B8" w:tentative="1">
      <w:start w:val="1"/>
      <w:numFmt w:val="decimal"/>
      <w:lvlText w:val="%5."/>
      <w:lvlJc w:val="left"/>
      <w:pPr>
        <w:tabs>
          <w:tab w:val="num" w:pos="3600"/>
        </w:tabs>
        <w:ind w:left="3600" w:hanging="360"/>
      </w:pPr>
    </w:lvl>
    <w:lvl w:ilvl="5" w:tplc="EA36DAA2" w:tentative="1">
      <w:start w:val="1"/>
      <w:numFmt w:val="decimal"/>
      <w:lvlText w:val="%6."/>
      <w:lvlJc w:val="left"/>
      <w:pPr>
        <w:tabs>
          <w:tab w:val="num" w:pos="4320"/>
        </w:tabs>
        <w:ind w:left="4320" w:hanging="360"/>
      </w:pPr>
    </w:lvl>
    <w:lvl w:ilvl="6" w:tplc="2026D60E" w:tentative="1">
      <w:start w:val="1"/>
      <w:numFmt w:val="decimal"/>
      <w:lvlText w:val="%7."/>
      <w:lvlJc w:val="left"/>
      <w:pPr>
        <w:tabs>
          <w:tab w:val="num" w:pos="5040"/>
        </w:tabs>
        <w:ind w:left="5040" w:hanging="360"/>
      </w:pPr>
    </w:lvl>
    <w:lvl w:ilvl="7" w:tplc="52EC7D84" w:tentative="1">
      <w:start w:val="1"/>
      <w:numFmt w:val="decimal"/>
      <w:lvlText w:val="%8."/>
      <w:lvlJc w:val="left"/>
      <w:pPr>
        <w:tabs>
          <w:tab w:val="num" w:pos="5760"/>
        </w:tabs>
        <w:ind w:left="5760" w:hanging="360"/>
      </w:pPr>
    </w:lvl>
    <w:lvl w:ilvl="8" w:tplc="A3C67F82" w:tentative="1">
      <w:start w:val="1"/>
      <w:numFmt w:val="decimal"/>
      <w:lvlText w:val="%9."/>
      <w:lvlJc w:val="left"/>
      <w:pPr>
        <w:tabs>
          <w:tab w:val="num" w:pos="6480"/>
        </w:tabs>
        <w:ind w:left="6480" w:hanging="36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defaultTabStop w:val="720"/>
  <w:drawingGridHorizontalSpacing w:val="110"/>
  <w:displayHorizontalDrawingGridEvery w:val="2"/>
  <w:characterSpacingControl w:val="doNotCompress"/>
  <w:hdrShapeDefaults>
    <o:shapedefaults v:ext="edit" spidmax="22530"/>
    <o:shapelayout v:ext="edit">
      <o:idmap v:ext="edit" data="2"/>
    </o:shapelayout>
  </w:hdrShapeDefaults>
  <w:footnotePr>
    <w:footnote w:id="0"/>
    <w:footnote w:id="1"/>
  </w:footnotePr>
  <w:endnotePr>
    <w:endnote w:id="0"/>
    <w:endnote w:id="1"/>
  </w:endnotePr>
  <w:compat>
    <w:ulTrailSpace/>
  </w:compat>
  <w:docVars>
    <w:docVar w:name="__Grammarly_42____i" w:val="H4sIAAAAAAAEAKtWckksSQxILCpxzi/NK1GyMqwFAAEhoTITAAAA"/>
    <w:docVar w:name="__Grammarly_42___1" w:val="H4sIAAAAAAAEAKtWcslP9kxRslIyNDa0MLQwNjUxNDMwMDIAAiUdpeDU4uLM/DyQAsNaAD1zKjEsAAAA"/>
  </w:docVars>
  <w:rsids>
    <w:rsidRoot w:val="00AE3E37"/>
    <w:rsid w:val="000A5162"/>
    <w:rsid w:val="000D0805"/>
    <w:rsid w:val="000E2911"/>
    <w:rsid w:val="001263DF"/>
    <w:rsid w:val="00160020"/>
    <w:rsid w:val="001A479D"/>
    <w:rsid w:val="002528AD"/>
    <w:rsid w:val="002566B1"/>
    <w:rsid w:val="00292ED9"/>
    <w:rsid w:val="0029396F"/>
    <w:rsid w:val="002E059E"/>
    <w:rsid w:val="00362333"/>
    <w:rsid w:val="00381513"/>
    <w:rsid w:val="003B588A"/>
    <w:rsid w:val="00404E5B"/>
    <w:rsid w:val="00405F83"/>
    <w:rsid w:val="00414F7B"/>
    <w:rsid w:val="0042758D"/>
    <w:rsid w:val="004355DC"/>
    <w:rsid w:val="004749B4"/>
    <w:rsid w:val="00494130"/>
    <w:rsid w:val="004D1447"/>
    <w:rsid w:val="004F3523"/>
    <w:rsid w:val="0058107B"/>
    <w:rsid w:val="005973B9"/>
    <w:rsid w:val="005A70E8"/>
    <w:rsid w:val="005B3A56"/>
    <w:rsid w:val="005B73FA"/>
    <w:rsid w:val="005C604E"/>
    <w:rsid w:val="006060CE"/>
    <w:rsid w:val="0063497F"/>
    <w:rsid w:val="006F129A"/>
    <w:rsid w:val="00753B1C"/>
    <w:rsid w:val="007618EF"/>
    <w:rsid w:val="007863B4"/>
    <w:rsid w:val="007C7C54"/>
    <w:rsid w:val="007E2F3A"/>
    <w:rsid w:val="007F539F"/>
    <w:rsid w:val="0087071A"/>
    <w:rsid w:val="00873DF0"/>
    <w:rsid w:val="008756E6"/>
    <w:rsid w:val="00880057"/>
    <w:rsid w:val="00954EFD"/>
    <w:rsid w:val="00972752"/>
    <w:rsid w:val="009B2D44"/>
    <w:rsid w:val="00A00536"/>
    <w:rsid w:val="00A07E82"/>
    <w:rsid w:val="00A8568F"/>
    <w:rsid w:val="00A86EC9"/>
    <w:rsid w:val="00A9710C"/>
    <w:rsid w:val="00AE3E37"/>
    <w:rsid w:val="00B01260"/>
    <w:rsid w:val="00B21A57"/>
    <w:rsid w:val="00B73F8B"/>
    <w:rsid w:val="00BA6907"/>
    <w:rsid w:val="00BC5BF8"/>
    <w:rsid w:val="00BE2B7F"/>
    <w:rsid w:val="00C17CFD"/>
    <w:rsid w:val="00C33602"/>
    <w:rsid w:val="00C336A3"/>
    <w:rsid w:val="00C67D38"/>
    <w:rsid w:val="00CD6F55"/>
    <w:rsid w:val="00CF2388"/>
    <w:rsid w:val="00D21666"/>
    <w:rsid w:val="00D325CC"/>
    <w:rsid w:val="00D41EE9"/>
    <w:rsid w:val="00D435F6"/>
    <w:rsid w:val="00D466A2"/>
    <w:rsid w:val="00D517DC"/>
    <w:rsid w:val="00D619DB"/>
    <w:rsid w:val="00D92656"/>
    <w:rsid w:val="00DE3104"/>
    <w:rsid w:val="00E37456"/>
    <w:rsid w:val="00EB346F"/>
    <w:rsid w:val="00EC7B82"/>
    <w:rsid w:val="00ED43CC"/>
    <w:rsid w:val="00F07CE8"/>
    <w:rsid w:val="00F51CB4"/>
    <w:rsid w:val="00F53956"/>
    <w:rsid w:val="00F72EEA"/>
    <w:rsid w:val="00F84CAE"/>
    <w:rsid w:val="00FB4344"/>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5B73FA"/>
    <w:rPr>
      <w:sz w:val="16"/>
      <w:szCs w:val="16"/>
    </w:rPr>
  </w:style>
  <w:style w:type="paragraph" w:styleId="CommentText">
    <w:name w:val="annotation text"/>
    <w:basedOn w:val="Normal"/>
    <w:link w:val="CommentTextChar"/>
    <w:uiPriority w:val="99"/>
    <w:semiHidden/>
    <w:unhideWhenUsed/>
    <w:rsid w:val="005B73FA"/>
    <w:rPr>
      <w:sz w:val="20"/>
      <w:szCs w:val="20"/>
    </w:rPr>
  </w:style>
  <w:style w:type="character" w:customStyle="1" w:styleId="CommentTextChar">
    <w:name w:val="Comment Text Char"/>
    <w:basedOn w:val="DefaultParagraphFont"/>
    <w:link w:val="CommentText"/>
    <w:uiPriority w:val="99"/>
    <w:semiHidden/>
    <w:rsid w:val="005B73FA"/>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5B73FA"/>
    <w:rPr>
      <w:b/>
      <w:bCs/>
    </w:rPr>
  </w:style>
  <w:style w:type="character" w:customStyle="1" w:styleId="CommentSubjectChar">
    <w:name w:val="Comment Subject Char"/>
    <w:basedOn w:val="CommentTextChar"/>
    <w:link w:val="CommentSubject"/>
    <w:uiPriority w:val="99"/>
    <w:semiHidden/>
    <w:rsid w:val="005B73FA"/>
    <w:rPr>
      <w:rFonts w:ascii="Tw Cen MT" w:eastAsia="Tw Cen MT" w:hAnsi="Tw Cen MT" w:cs="Tw Cen MT"/>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281302888">
      <w:bodyDiv w:val="1"/>
      <w:marLeft w:val="0"/>
      <w:marRight w:val="0"/>
      <w:marTop w:val="0"/>
      <w:marBottom w:val="0"/>
      <w:divBdr>
        <w:top w:val="none" w:sz="0" w:space="0" w:color="auto"/>
        <w:left w:val="none" w:sz="0" w:space="0" w:color="auto"/>
        <w:bottom w:val="none" w:sz="0" w:space="0" w:color="auto"/>
        <w:right w:val="none" w:sz="0" w:space="0" w:color="auto"/>
      </w:divBdr>
      <w:divsChild>
        <w:div w:id="596986026">
          <w:marLeft w:val="720"/>
          <w:marRight w:val="0"/>
          <w:marTop w:val="53"/>
          <w:marBottom w:val="0"/>
          <w:divBdr>
            <w:top w:val="none" w:sz="0" w:space="0" w:color="auto"/>
            <w:left w:val="none" w:sz="0" w:space="0" w:color="auto"/>
            <w:bottom w:val="none" w:sz="0" w:space="0" w:color="auto"/>
            <w:right w:val="none" w:sz="0" w:space="0" w:color="auto"/>
          </w:divBdr>
        </w:div>
        <w:div w:id="1040280759">
          <w:marLeft w:val="720"/>
          <w:marRight w:val="0"/>
          <w:marTop w:val="53"/>
          <w:marBottom w:val="0"/>
          <w:divBdr>
            <w:top w:val="none" w:sz="0" w:space="0" w:color="auto"/>
            <w:left w:val="none" w:sz="0" w:space="0" w:color="auto"/>
            <w:bottom w:val="none" w:sz="0" w:space="0" w:color="auto"/>
            <w:right w:val="none" w:sz="0" w:space="0" w:color="auto"/>
          </w:divBdr>
        </w:div>
        <w:div w:id="1071856629">
          <w:marLeft w:val="720"/>
          <w:marRight w:val="0"/>
          <w:marTop w:val="53"/>
          <w:marBottom w:val="0"/>
          <w:divBdr>
            <w:top w:val="none" w:sz="0" w:space="0" w:color="auto"/>
            <w:left w:val="none" w:sz="0" w:space="0" w:color="auto"/>
            <w:bottom w:val="none" w:sz="0" w:space="0" w:color="auto"/>
            <w:right w:val="none" w:sz="0" w:space="0" w:color="auto"/>
          </w:divBdr>
        </w:div>
        <w:div w:id="1256866834">
          <w:marLeft w:val="720"/>
          <w:marRight w:val="0"/>
          <w:marTop w:val="53"/>
          <w:marBottom w:val="0"/>
          <w:divBdr>
            <w:top w:val="none" w:sz="0" w:space="0" w:color="auto"/>
            <w:left w:val="none" w:sz="0" w:space="0" w:color="auto"/>
            <w:bottom w:val="none" w:sz="0" w:space="0" w:color="auto"/>
            <w:right w:val="none" w:sz="0" w:space="0" w:color="auto"/>
          </w:divBdr>
        </w:div>
      </w:divsChild>
    </w:div>
    <w:div w:id="48354531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13755814">
      <w:bodyDiv w:val="1"/>
      <w:marLeft w:val="0"/>
      <w:marRight w:val="0"/>
      <w:marTop w:val="0"/>
      <w:marBottom w:val="0"/>
      <w:divBdr>
        <w:top w:val="none" w:sz="0" w:space="0" w:color="auto"/>
        <w:left w:val="none" w:sz="0" w:space="0" w:color="auto"/>
        <w:bottom w:val="none" w:sz="0" w:space="0" w:color="auto"/>
        <w:right w:val="none" w:sz="0" w:space="0" w:color="auto"/>
      </w:divBdr>
    </w:div>
    <w:div w:id="701706389">
      <w:bodyDiv w:val="1"/>
      <w:marLeft w:val="0"/>
      <w:marRight w:val="0"/>
      <w:marTop w:val="0"/>
      <w:marBottom w:val="0"/>
      <w:divBdr>
        <w:top w:val="none" w:sz="0" w:space="0" w:color="auto"/>
        <w:left w:val="none" w:sz="0" w:space="0" w:color="auto"/>
        <w:bottom w:val="none" w:sz="0" w:space="0" w:color="auto"/>
        <w:right w:val="none" w:sz="0" w:space="0" w:color="auto"/>
      </w:divBdr>
    </w:div>
    <w:div w:id="785731072">
      <w:bodyDiv w:val="1"/>
      <w:marLeft w:val="0"/>
      <w:marRight w:val="0"/>
      <w:marTop w:val="0"/>
      <w:marBottom w:val="0"/>
      <w:divBdr>
        <w:top w:val="none" w:sz="0" w:space="0" w:color="auto"/>
        <w:left w:val="none" w:sz="0" w:space="0" w:color="auto"/>
        <w:bottom w:val="none" w:sz="0" w:space="0" w:color="auto"/>
        <w:right w:val="none" w:sz="0" w:space="0" w:color="auto"/>
      </w:divBdr>
      <w:divsChild>
        <w:div w:id="135463547">
          <w:marLeft w:val="720"/>
          <w:marRight w:val="0"/>
          <w:marTop w:val="53"/>
          <w:marBottom w:val="0"/>
          <w:divBdr>
            <w:top w:val="none" w:sz="0" w:space="0" w:color="auto"/>
            <w:left w:val="none" w:sz="0" w:space="0" w:color="auto"/>
            <w:bottom w:val="none" w:sz="0" w:space="0" w:color="auto"/>
            <w:right w:val="none" w:sz="0" w:space="0" w:color="auto"/>
          </w:divBdr>
        </w:div>
        <w:div w:id="975723910">
          <w:marLeft w:val="720"/>
          <w:marRight w:val="0"/>
          <w:marTop w:val="53"/>
          <w:marBottom w:val="0"/>
          <w:divBdr>
            <w:top w:val="none" w:sz="0" w:space="0" w:color="auto"/>
            <w:left w:val="none" w:sz="0" w:space="0" w:color="auto"/>
            <w:bottom w:val="none" w:sz="0" w:space="0" w:color="auto"/>
            <w:right w:val="none" w:sz="0" w:space="0" w:color="auto"/>
          </w:divBdr>
        </w:div>
        <w:div w:id="1949196159">
          <w:marLeft w:val="720"/>
          <w:marRight w:val="0"/>
          <w:marTop w:val="53"/>
          <w:marBottom w:val="0"/>
          <w:divBdr>
            <w:top w:val="none" w:sz="0" w:space="0" w:color="auto"/>
            <w:left w:val="none" w:sz="0" w:space="0" w:color="auto"/>
            <w:bottom w:val="none" w:sz="0" w:space="0" w:color="auto"/>
            <w:right w:val="none" w:sz="0" w:space="0" w:color="auto"/>
          </w:divBdr>
        </w:div>
        <w:div w:id="936600978">
          <w:marLeft w:val="720"/>
          <w:marRight w:val="0"/>
          <w:marTop w:val="53"/>
          <w:marBottom w:val="0"/>
          <w:divBdr>
            <w:top w:val="none" w:sz="0" w:space="0" w:color="auto"/>
            <w:left w:val="none" w:sz="0" w:space="0" w:color="auto"/>
            <w:bottom w:val="none" w:sz="0" w:space="0" w:color="auto"/>
            <w:right w:val="none" w:sz="0" w:space="0" w:color="auto"/>
          </w:divBdr>
        </w:div>
      </w:divsChild>
    </w:div>
    <w:div w:id="128380098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jitendra</cp:lastModifiedBy>
  <cp:revision>3</cp:revision>
  <dcterms:created xsi:type="dcterms:W3CDTF">2020-02-19T10:02:00Z</dcterms:created>
  <dcterms:modified xsi:type="dcterms:W3CDTF">2020-02-19T10:05:00Z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