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EA585" w14:textId="05C34D57" w:rsidR="00AE3E37" w:rsidRDefault="00DA3009" w:rsidP="000534A1">
      <w:pPr>
        <w:pStyle w:val="1"/>
        <w:spacing w:before="170"/>
        <w:ind w:left="0"/>
        <w:jc w:val="both"/>
      </w:pPr>
      <w:r w:rsidRPr="00DA3009">
        <w:rPr>
          <w:color w:val="337AB7"/>
        </w:rPr>
        <w:t>Knockdown of PGM1 enhances anticancer effects of orlistat in gastric cancer under glucose deprivation</w:t>
      </w:r>
    </w:p>
    <w:p w14:paraId="18BCEE67" w14:textId="55FDF2F7" w:rsidR="00DE6AEE" w:rsidRDefault="000917E6" w:rsidP="00DE6AEE">
      <w:pPr>
        <w:pStyle w:val="a3"/>
        <w:spacing w:before="73" w:line="198" w:lineRule="exact"/>
        <w:ind w:left="102"/>
        <w:rPr>
          <w:rFonts w:ascii="Arial"/>
        </w:rPr>
      </w:pPr>
      <w:r w:rsidRPr="000917E6">
        <w:rPr>
          <w:rFonts w:ascii="Arial" w:hint="eastAsia"/>
        </w:rPr>
        <w:t>Bo</w:t>
      </w:r>
      <w:r>
        <w:rPr>
          <w:rFonts w:ascii="Arial"/>
        </w:rPr>
        <w:t xml:space="preserve"> Cao</w:t>
      </w:r>
      <w:r w:rsidR="005973B9">
        <w:rPr>
          <w:rFonts w:ascii="Arial"/>
        </w:rPr>
        <w:t xml:space="preserve">, </w:t>
      </w:r>
      <w:proofErr w:type="spellStart"/>
      <w:proofErr w:type="gramStart"/>
      <w:r>
        <w:rPr>
          <w:rFonts w:ascii="Arial"/>
        </w:rPr>
        <w:t>MD</w:t>
      </w:r>
      <w:r>
        <w:rPr>
          <w:rFonts w:ascii="宋体" w:eastAsia="宋体" w:hAnsi="宋体" w:cs="宋体"/>
          <w:lang w:eastAsia="zh-CN"/>
        </w:rPr>
        <w:t>,</w:t>
      </w:r>
      <w:r w:rsidR="005973B9">
        <w:rPr>
          <w:rFonts w:ascii="Arial"/>
        </w:rPr>
        <w:t>PhD</w:t>
      </w:r>
      <w:proofErr w:type="spellEnd"/>
      <w:proofErr w:type="gramEnd"/>
      <w:r w:rsidR="005973B9">
        <w:rPr>
          <w:rFonts w:ascii="Arial"/>
        </w:rPr>
        <w:t xml:space="preserve">, </w:t>
      </w:r>
      <w:r w:rsidR="00DE6AEE" w:rsidRPr="00DE6AEE">
        <w:rPr>
          <w:rFonts w:ascii="Arial"/>
        </w:rPr>
        <w:t>Department of General Surgery</w:t>
      </w:r>
      <w:r w:rsidR="00DE6AEE">
        <w:rPr>
          <w:rFonts w:ascii="Arial"/>
        </w:rPr>
        <w:t xml:space="preserve">, </w:t>
      </w:r>
      <w:r w:rsidR="00DE6AEE" w:rsidRPr="00DE6AEE">
        <w:rPr>
          <w:rFonts w:ascii="Arial"/>
        </w:rPr>
        <w:t>Chinese PLA</w:t>
      </w:r>
      <w:r w:rsidR="00DE6AEE">
        <w:rPr>
          <w:rFonts w:ascii="Arial" w:eastAsiaTheme="minorEastAsia" w:hint="eastAsia"/>
          <w:lang w:eastAsia="zh-CN"/>
        </w:rPr>
        <w:t xml:space="preserve"> </w:t>
      </w:r>
      <w:r w:rsidR="00DE6AEE" w:rsidRPr="00DE6AEE">
        <w:rPr>
          <w:rFonts w:ascii="Arial"/>
        </w:rPr>
        <w:t>General Hospital, Beijing 100853, China</w:t>
      </w:r>
    </w:p>
    <w:p w14:paraId="2FA0C419" w14:textId="77BDBF4E" w:rsidR="005973B9" w:rsidRDefault="00DE6AEE" w:rsidP="00DE6AEE">
      <w:pPr>
        <w:pStyle w:val="a3"/>
        <w:spacing w:before="73" w:line="198" w:lineRule="exact"/>
        <w:ind w:left="102"/>
        <w:rPr>
          <w:rFonts w:ascii="Arial"/>
        </w:rPr>
      </w:pPr>
      <w:r>
        <w:rPr>
          <w:rFonts w:ascii="Arial"/>
        </w:rPr>
        <w:t>Bo Wei</w:t>
      </w:r>
      <w:r w:rsidR="005973B9">
        <w:rPr>
          <w:rFonts w:ascii="Arial"/>
        </w:rPr>
        <w:t xml:space="preserve">, </w:t>
      </w:r>
      <w:proofErr w:type="spellStart"/>
      <w:proofErr w:type="gramStart"/>
      <w:r>
        <w:rPr>
          <w:rFonts w:ascii="Arial"/>
        </w:rPr>
        <w:t>MD</w:t>
      </w:r>
      <w:r w:rsidRPr="00DE6AEE">
        <w:rPr>
          <w:rFonts w:ascii="Arial"/>
        </w:rPr>
        <w:t>,</w:t>
      </w:r>
      <w:r>
        <w:rPr>
          <w:rFonts w:ascii="Arial"/>
        </w:rPr>
        <w:t>PhD</w:t>
      </w:r>
      <w:proofErr w:type="spellEnd"/>
      <w:proofErr w:type="gramEnd"/>
      <w:r>
        <w:rPr>
          <w:rFonts w:ascii="Arial"/>
        </w:rPr>
        <w:t xml:space="preserve">, </w:t>
      </w:r>
      <w:r w:rsidRPr="00DE6AEE">
        <w:rPr>
          <w:rFonts w:ascii="Arial"/>
        </w:rPr>
        <w:t>Department of General Surgery</w:t>
      </w:r>
      <w:r>
        <w:rPr>
          <w:rFonts w:ascii="Arial"/>
        </w:rPr>
        <w:t xml:space="preserve">, </w:t>
      </w:r>
      <w:r w:rsidRPr="00DE6AEE">
        <w:rPr>
          <w:rFonts w:ascii="Arial"/>
        </w:rPr>
        <w:t>Chinese PLA</w:t>
      </w:r>
      <w:r w:rsidRPr="00DE6AEE">
        <w:rPr>
          <w:rFonts w:ascii="Arial" w:hint="eastAsia"/>
        </w:rPr>
        <w:t xml:space="preserve"> </w:t>
      </w:r>
      <w:r w:rsidRPr="00DE6AEE">
        <w:rPr>
          <w:rFonts w:ascii="Arial"/>
        </w:rPr>
        <w:t>General Hospital, Beijing 100853, China</w:t>
      </w:r>
    </w:p>
    <w:p w14:paraId="478FCBCB" w14:textId="7973B8B9" w:rsidR="00DE6AEE" w:rsidRDefault="00DE6AEE" w:rsidP="00DE6AEE">
      <w:pPr>
        <w:pStyle w:val="a3"/>
        <w:spacing w:before="73" w:line="198" w:lineRule="exact"/>
        <w:ind w:left="102"/>
        <w:rPr>
          <w:rFonts w:ascii="Arial"/>
        </w:rPr>
      </w:pPr>
      <w:r>
        <w:rPr>
          <w:rFonts w:ascii="Arial"/>
        </w:rPr>
        <w:t>Lin Chen</w:t>
      </w:r>
      <w:r>
        <w:rPr>
          <w:rFonts w:ascii="Arial"/>
        </w:rPr>
        <w:t xml:space="preserve">, </w:t>
      </w:r>
      <w:proofErr w:type="spellStart"/>
      <w:proofErr w:type="gramStart"/>
      <w:r>
        <w:rPr>
          <w:rFonts w:ascii="Arial"/>
        </w:rPr>
        <w:t>MD</w:t>
      </w:r>
      <w:r w:rsidRPr="00DE6AEE">
        <w:rPr>
          <w:rFonts w:ascii="Arial"/>
        </w:rPr>
        <w:t>,</w:t>
      </w:r>
      <w:r>
        <w:rPr>
          <w:rFonts w:ascii="Arial"/>
        </w:rPr>
        <w:t>PhD</w:t>
      </w:r>
      <w:proofErr w:type="spellEnd"/>
      <w:proofErr w:type="gramEnd"/>
      <w:r>
        <w:rPr>
          <w:rFonts w:ascii="Arial"/>
        </w:rPr>
        <w:t xml:space="preserve">, </w:t>
      </w:r>
      <w:r w:rsidRPr="00DE6AEE">
        <w:rPr>
          <w:rFonts w:ascii="Arial"/>
        </w:rPr>
        <w:t>Department of General Surgery</w:t>
      </w:r>
      <w:r>
        <w:rPr>
          <w:rFonts w:ascii="Arial"/>
        </w:rPr>
        <w:t xml:space="preserve">, </w:t>
      </w:r>
      <w:r w:rsidRPr="00DE6AEE">
        <w:rPr>
          <w:rFonts w:ascii="Arial"/>
        </w:rPr>
        <w:t>Chinese PLA</w:t>
      </w:r>
      <w:r w:rsidRPr="00DE6AEE">
        <w:rPr>
          <w:rFonts w:ascii="Arial" w:hint="eastAsia"/>
        </w:rPr>
        <w:t xml:space="preserve"> </w:t>
      </w:r>
      <w:r w:rsidRPr="00DE6AEE">
        <w:rPr>
          <w:rFonts w:ascii="Arial"/>
        </w:rPr>
        <w:t>General Hospital, Beijing 100853, China</w:t>
      </w:r>
    </w:p>
    <w:p w14:paraId="5D67D814" w14:textId="77777777" w:rsidR="00AE3E37" w:rsidRDefault="00AE3E37">
      <w:pPr>
        <w:rPr>
          <w:rFonts w:ascii="Arial"/>
          <w:sz w:val="21"/>
        </w:rPr>
      </w:pPr>
    </w:p>
    <w:p w14:paraId="34B8D951" w14:textId="1D839E97" w:rsidR="00F83811" w:rsidRDefault="00F83811">
      <w:pPr>
        <w:rPr>
          <w:rFonts w:ascii="Arial"/>
          <w:sz w:val="21"/>
        </w:rPr>
        <w:sectPr w:rsidR="00F83811" w:rsidSect="008E5477">
          <w:footerReference w:type="default" r:id="rId7"/>
          <w:type w:val="continuous"/>
          <w:pgSz w:w="11910" w:h="16840"/>
          <w:pgMar w:top="995" w:right="600" w:bottom="840" w:left="620" w:header="0" w:footer="0" w:gutter="0"/>
          <w:cols w:space="720"/>
          <w:docGrid w:linePitch="299"/>
        </w:sectPr>
      </w:pPr>
    </w:p>
    <w:p w14:paraId="3275D6FD"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DC5643A" w14:textId="1CECA926" w:rsidR="00AE3E37" w:rsidRDefault="00C72511">
      <w:pPr>
        <w:pStyle w:val="a3"/>
        <w:spacing w:before="90" w:line="280" w:lineRule="auto"/>
        <w:ind w:left="100"/>
        <w:jc w:val="both"/>
      </w:pPr>
      <w:r w:rsidRPr="00C72511">
        <w:t xml:space="preserve">Statement of the Problem: Phosphoglucomutase 1 (PGM1) acts as an important regulator in glucose metabolism. However, the role of PGM1 in gastric cancer (GC) remains unclear. This study aims to investigate the role of PGM1 and develop novel regimens based on metabolic reprogramming in GC. Methodology &amp; Theoretical Orientation: Data derived from the Kaplan–Meier Plotter database were analyzed to evaluate correlations between PGM1 expression and survival time of GC patients. Cell counting kit-8, 5-Ethynyl-2-deoxyuridine, flow cytometry assays, generation of subcutaneous tumor and lung metastasis mouse models were used to determine growth and metastasis in vitro and in vivo. Cell glycolysis was detected by a battery of glycolytic indicators, including lactate, pyruvic acid, ATP production and glucose uptake. Fatty Acid Synthase (FASN) activity and expression levels of lipid enzymes were determined to reflect on lipid metabolism. Findings: Correlation and enrichment analyses suggested that PGM1 was closely associated with cell viability, </w:t>
      </w:r>
      <w:proofErr w:type="gramStart"/>
      <w:r w:rsidRPr="00C72511">
        <w:t>proliferation</w:t>
      </w:r>
      <w:proofErr w:type="gramEnd"/>
      <w:r w:rsidRPr="00C72511">
        <w:t xml:space="preserve"> and metabolism. PGM1 was overexpressed in GC tissues and cell lines. High PGM1 expression served as an indicator of shorter survival for specific subpopulation of GC patients. It was also correlated with pathological tumor stage and pathological tumor node metastasis stage of GC. Under the glucose deprivation condition, knockdown of PGM1 significantly suppressed cell viability, </w:t>
      </w:r>
      <w:proofErr w:type="gramStart"/>
      <w:r w:rsidRPr="00C72511">
        <w:t>proliferation</w:t>
      </w:r>
      <w:proofErr w:type="gramEnd"/>
      <w:r w:rsidRPr="00C72511">
        <w:t xml:space="preserve"> and glycolysis, whereas lipid metabolism was enhanced. Orlistat, as a drug that was designed to inhibit FASN activity, effectively induced apoptosis and suppressed lipid metabolism in GC. However, orlistat conversely increased glycolytic levels. Orlistat exhibited more significant inhibitive effects on GC progression after knockdown of PGM1 under glucose deprivation due to combination of glycolysis and lipid metabolism both in vitro and in vivo. Conclusion &amp; Significance: Downregulation of PGM1 expression under glucose deprivation enhanced anti-cancer effects of orlistat. This combination application may serve as a novel strategy for GC treatment.</w:t>
      </w:r>
    </w:p>
    <w:p w14:paraId="48A2E760" w14:textId="77777777" w:rsidR="00AE3E37" w:rsidRDefault="00A9710C">
      <w:pPr>
        <w:pStyle w:val="3"/>
        <w:spacing w:before="74"/>
      </w:pPr>
      <w:r>
        <w:rPr>
          <w:b w:val="0"/>
        </w:rPr>
        <w:br w:type="column"/>
      </w:r>
      <w:r>
        <w:rPr>
          <w:color w:val="BF5A14"/>
        </w:rPr>
        <w:t>Image</w:t>
      </w:r>
    </w:p>
    <w:p w14:paraId="2C9333B4" w14:textId="70CF769D" w:rsidR="00AE3E37" w:rsidRDefault="00964161" w:rsidP="00177530">
      <w:pPr>
        <w:pStyle w:val="a3"/>
        <w:spacing w:before="2"/>
        <w:ind w:firstLineChars="500" w:firstLine="900"/>
        <w:rPr>
          <w:rFonts w:ascii="Arial"/>
          <w:b/>
          <w:sz w:val="16"/>
        </w:rPr>
      </w:pPr>
      <w:r>
        <w:rPr>
          <w:noProof/>
        </w:rPr>
        <w:drawing>
          <wp:inline distT="0" distB="0" distL="0" distR="0" wp14:anchorId="418A6BF1" wp14:editId="213E5F01">
            <wp:extent cx="1866900" cy="1614485"/>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81086" cy="1626753"/>
                    </a:xfrm>
                    <a:prstGeom prst="rect">
                      <a:avLst/>
                    </a:prstGeom>
                  </pic:spPr>
                </pic:pic>
              </a:graphicData>
            </a:graphic>
          </wp:inline>
        </w:drawing>
      </w:r>
    </w:p>
    <w:p w14:paraId="459D6DC5" w14:textId="77777777" w:rsidR="006A168D" w:rsidRDefault="006A168D" w:rsidP="006A168D">
      <w:pPr>
        <w:pStyle w:val="a3"/>
        <w:spacing w:before="90" w:line="281" w:lineRule="auto"/>
        <w:ind w:left="567"/>
        <w:jc w:val="both"/>
      </w:pPr>
      <w:r w:rsidRPr="006A168D">
        <w:rPr>
          <w:rFonts w:hint="eastAsia"/>
        </w:rPr>
        <w:t>Fig</w:t>
      </w:r>
      <w:r w:rsidRPr="006A168D">
        <w:t xml:space="preserve">.1 </w:t>
      </w:r>
      <w:r w:rsidRPr="006A168D">
        <w:t>Schematic</w:t>
      </w:r>
      <w:r w:rsidRPr="006A168D">
        <w:rPr>
          <w:rFonts w:hint="eastAsia"/>
        </w:rPr>
        <w:t xml:space="preserve"> </w:t>
      </w:r>
      <w:r w:rsidRPr="006A168D">
        <w:t>illustration of mechanisms of PGM1</w:t>
      </w:r>
    </w:p>
    <w:p w14:paraId="6206494A" w14:textId="33D9747E" w:rsidR="006A168D" w:rsidRPr="006A168D" w:rsidRDefault="006A168D" w:rsidP="006A168D">
      <w:pPr>
        <w:pStyle w:val="a3"/>
        <w:spacing w:before="90" w:line="281" w:lineRule="auto"/>
        <w:ind w:left="567"/>
        <w:jc w:val="both"/>
      </w:pPr>
      <w:r w:rsidRPr="006A168D">
        <w:t>K</w:t>
      </w:r>
      <w:r w:rsidRPr="006A168D">
        <w:t>nockdown</w:t>
      </w:r>
      <w:r>
        <w:rPr>
          <w:rFonts w:eastAsiaTheme="minorEastAsia" w:hint="eastAsia"/>
          <w:lang w:eastAsia="zh-CN"/>
        </w:rPr>
        <w:t xml:space="preserve"> </w:t>
      </w:r>
      <w:r w:rsidRPr="006A168D">
        <w:t>plus orlistat treatment in GC therapy.</w:t>
      </w:r>
    </w:p>
    <w:p w14:paraId="2633547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A54106D" w14:textId="6E7378D2" w:rsidR="006A168D" w:rsidRPr="006A168D" w:rsidRDefault="006A168D" w:rsidP="006A168D">
      <w:pPr>
        <w:tabs>
          <w:tab w:val="left" w:pos="384"/>
        </w:tabs>
        <w:ind w:right="117"/>
        <w:rPr>
          <w:sz w:val="18"/>
          <w:szCs w:val="18"/>
        </w:rPr>
      </w:pPr>
      <w:r>
        <w:tab/>
      </w:r>
      <w:r w:rsidRPr="006A168D">
        <w:rPr>
          <w:sz w:val="18"/>
          <w:szCs w:val="18"/>
        </w:rPr>
        <w:t>1. Cao B, Liu G, Zhang W, Shi Y, Wei B. Role of circular RNAs and long non</w:t>
      </w:r>
      <w:r w:rsidRPr="006A168D">
        <w:rPr>
          <w:rFonts w:ascii="MS Gothic" w:eastAsia="MS Gothic" w:hAnsi="MS Gothic" w:cs="MS Gothic" w:hint="eastAsia"/>
          <w:sz w:val="18"/>
          <w:szCs w:val="18"/>
        </w:rPr>
        <w:t>‑</w:t>
      </w:r>
      <w:r w:rsidRPr="006A168D">
        <w:rPr>
          <w:sz w:val="18"/>
          <w:szCs w:val="18"/>
        </w:rPr>
        <w:t>coding RNAs in the clinical translation of gastric cancer. Int J Mol Med 2021;47: 77-91.</w:t>
      </w:r>
    </w:p>
    <w:p w14:paraId="060717DE" w14:textId="77777777" w:rsidR="006A168D" w:rsidRPr="006A168D" w:rsidRDefault="006A168D" w:rsidP="006A168D">
      <w:pPr>
        <w:tabs>
          <w:tab w:val="left" w:pos="384"/>
        </w:tabs>
        <w:ind w:right="117"/>
        <w:rPr>
          <w:sz w:val="18"/>
          <w:szCs w:val="18"/>
        </w:rPr>
      </w:pPr>
      <w:r w:rsidRPr="006A168D">
        <w:rPr>
          <w:sz w:val="18"/>
          <w:szCs w:val="18"/>
        </w:rPr>
        <w:tab/>
        <w:t xml:space="preserve">2. Cao B, Zhang KC, Wei B, Chen L. </w:t>
      </w:r>
      <w:proofErr w:type="gramStart"/>
      <w:r w:rsidRPr="006A168D">
        <w:rPr>
          <w:sz w:val="18"/>
          <w:szCs w:val="18"/>
        </w:rPr>
        <w:t>Status quo</w:t>
      </w:r>
      <w:proofErr w:type="gramEnd"/>
      <w:r w:rsidRPr="006A168D">
        <w:rPr>
          <w:sz w:val="18"/>
          <w:szCs w:val="18"/>
        </w:rPr>
        <w:t xml:space="preserve"> and future prospects of artificial neural network from the perspective of gastroenterologists. World J Gastroenterol 2021;27: 2681-709.</w:t>
      </w:r>
    </w:p>
    <w:p w14:paraId="592B5346" w14:textId="77777777" w:rsidR="006A168D" w:rsidRPr="006A168D" w:rsidRDefault="006A168D" w:rsidP="006A168D">
      <w:pPr>
        <w:tabs>
          <w:tab w:val="left" w:pos="384"/>
        </w:tabs>
        <w:ind w:right="117"/>
        <w:rPr>
          <w:sz w:val="18"/>
          <w:szCs w:val="18"/>
        </w:rPr>
      </w:pPr>
      <w:r w:rsidRPr="006A168D">
        <w:rPr>
          <w:sz w:val="18"/>
          <w:szCs w:val="18"/>
        </w:rPr>
        <w:tab/>
        <w:t xml:space="preserve">3. Cui H, Cao B, Liu G, Xi H, Chen Z, Liang W, Zhang K, Cui J, </w:t>
      </w:r>
      <w:proofErr w:type="spellStart"/>
      <w:r w:rsidRPr="006A168D">
        <w:rPr>
          <w:sz w:val="18"/>
          <w:szCs w:val="18"/>
        </w:rPr>
        <w:t>Xie</w:t>
      </w:r>
      <w:proofErr w:type="spellEnd"/>
      <w:r w:rsidRPr="006A168D">
        <w:rPr>
          <w:sz w:val="18"/>
          <w:szCs w:val="18"/>
        </w:rPr>
        <w:t xml:space="preserve"> T, Deng H, Tang Y, Chen L, et al. Comparison of short-term outcomes and quality of life in totally laparoscopic distal gastrectomy and totally robotic distal gastrectomy for clinical stage I-III gastric cancer: study protocol for a multi-institutional </w:t>
      </w:r>
      <w:proofErr w:type="spellStart"/>
      <w:r w:rsidRPr="006A168D">
        <w:rPr>
          <w:sz w:val="18"/>
          <w:szCs w:val="18"/>
        </w:rPr>
        <w:t>randomised</w:t>
      </w:r>
      <w:proofErr w:type="spellEnd"/>
      <w:r w:rsidRPr="006A168D">
        <w:rPr>
          <w:sz w:val="18"/>
          <w:szCs w:val="18"/>
        </w:rPr>
        <w:t xml:space="preserve"> clinical trial. BMJ open 2021;11: e043535.</w:t>
      </w:r>
    </w:p>
    <w:p w14:paraId="6E268409" w14:textId="77777777" w:rsidR="006A168D" w:rsidRPr="006A168D" w:rsidRDefault="006A168D" w:rsidP="006A168D">
      <w:pPr>
        <w:tabs>
          <w:tab w:val="left" w:pos="384"/>
        </w:tabs>
        <w:ind w:right="117"/>
        <w:rPr>
          <w:sz w:val="18"/>
          <w:szCs w:val="18"/>
        </w:rPr>
      </w:pPr>
      <w:r w:rsidRPr="006A168D">
        <w:rPr>
          <w:sz w:val="18"/>
          <w:szCs w:val="18"/>
        </w:rPr>
        <w:tab/>
        <w:t xml:space="preserve">4. Wang Y, Cao B, Zhao R, Li H, Wei B, Dai G. Knockdown of </w:t>
      </w:r>
      <w:proofErr w:type="spellStart"/>
      <w:r w:rsidRPr="006A168D">
        <w:rPr>
          <w:sz w:val="18"/>
          <w:szCs w:val="18"/>
        </w:rPr>
        <w:t>circBFAR</w:t>
      </w:r>
      <w:proofErr w:type="spellEnd"/>
      <w:r w:rsidRPr="006A168D">
        <w:rPr>
          <w:sz w:val="18"/>
          <w:szCs w:val="18"/>
        </w:rPr>
        <w:t xml:space="preserve"> inhibits proliferation and glycolysis in gastric cancer by sponging miR-513a-3p/hexokinase 2 axis. </w:t>
      </w:r>
      <w:proofErr w:type="spellStart"/>
      <w:r w:rsidRPr="006A168D">
        <w:rPr>
          <w:sz w:val="18"/>
          <w:szCs w:val="18"/>
        </w:rPr>
        <w:t>Biochem</w:t>
      </w:r>
      <w:proofErr w:type="spellEnd"/>
      <w:r w:rsidRPr="006A168D">
        <w:rPr>
          <w:sz w:val="18"/>
          <w:szCs w:val="18"/>
        </w:rPr>
        <w:t xml:space="preserve"> </w:t>
      </w:r>
      <w:proofErr w:type="spellStart"/>
      <w:r w:rsidRPr="006A168D">
        <w:rPr>
          <w:sz w:val="18"/>
          <w:szCs w:val="18"/>
        </w:rPr>
        <w:t>Biophys</w:t>
      </w:r>
      <w:proofErr w:type="spellEnd"/>
      <w:r w:rsidRPr="006A168D">
        <w:rPr>
          <w:sz w:val="18"/>
          <w:szCs w:val="18"/>
        </w:rPr>
        <w:t xml:space="preserve"> Res </w:t>
      </w:r>
      <w:proofErr w:type="spellStart"/>
      <w:r w:rsidRPr="006A168D">
        <w:rPr>
          <w:sz w:val="18"/>
          <w:szCs w:val="18"/>
        </w:rPr>
        <w:t>Commun</w:t>
      </w:r>
      <w:proofErr w:type="spellEnd"/>
      <w:r w:rsidRPr="006A168D">
        <w:rPr>
          <w:sz w:val="18"/>
          <w:szCs w:val="18"/>
        </w:rPr>
        <w:t xml:space="preserve"> 2021;560: 80-6.</w:t>
      </w:r>
    </w:p>
    <w:p w14:paraId="51C7C62A" w14:textId="56A444C7" w:rsidR="00AE3E37" w:rsidRPr="006A168D" w:rsidRDefault="006A168D" w:rsidP="006A168D">
      <w:pPr>
        <w:tabs>
          <w:tab w:val="left" w:pos="384"/>
        </w:tabs>
        <w:ind w:right="117"/>
        <w:rPr>
          <w:sz w:val="18"/>
          <w:szCs w:val="18"/>
        </w:rPr>
      </w:pPr>
      <w:r w:rsidRPr="006A168D">
        <w:rPr>
          <w:sz w:val="18"/>
          <w:szCs w:val="18"/>
        </w:rPr>
        <w:tab/>
        <w:t>5. Zhao R, Cao B, Li H, Li T, Xu X, Cui H, Deng H, Wei B. Glucose starvation suppresses gastric cancer through targeting miR-216a-5p/Farnesyl-Diphosphate Farnesyltransferase 1 axis. Cancer Cell Int 2021;21: 704.</w:t>
      </w:r>
    </w:p>
    <w:p w14:paraId="780A2D2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sidRPr="006A168D">
        <w:rPr>
          <w:rFonts w:ascii="Calibri" w:hAnsi="Calibri"/>
          <w:sz w:val="18"/>
          <w:szCs w:val="18"/>
        </w:rPr>
        <w:t xml:space="preserve">   </w:t>
      </w:r>
    </w:p>
    <w:p w14:paraId="3973CAC0" w14:textId="77777777" w:rsidR="00AE3E37" w:rsidRDefault="00AE3E37">
      <w:pPr>
        <w:pStyle w:val="a3"/>
        <w:rPr>
          <w:rFonts w:ascii="Calibri"/>
          <w:sz w:val="20"/>
        </w:rPr>
      </w:pPr>
    </w:p>
    <w:p w14:paraId="2A35F29B"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25EA36D7" wp14:editId="25468F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E09C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A8E964" w14:textId="03C9EE38" w:rsidR="00AE3E37" w:rsidRDefault="008756E6" w:rsidP="00C27049">
      <w:pPr>
        <w:spacing w:before="92"/>
        <w:rPr>
          <w:rFonts w:ascii="Arial"/>
        </w:rPr>
      </w:pPr>
      <w:r>
        <w:rPr>
          <w:noProof/>
        </w:rPr>
        <w:t xml:space="preserve">             </w:t>
      </w:r>
      <w:r w:rsidR="00C27049">
        <w:rPr>
          <w:rFonts w:ascii="Arial"/>
          <w:noProof/>
          <w:sz w:val="14"/>
        </w:rPr>
        <w:drawing>
          <wp:inline distT="0" distB="0" distL="0" distR="0" wp14:anchorId="1550C20E" wp14:editId="419A17CB">
            <wp:extent cx="738719" cy="91440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1602"/>
                    <a:stretch/>
                  </pic:blipFill>
                  <pic:spPr bwMode="auto">
                    <a:xfrm>
                      <a:off x="0" y="0"/>
                      <a:ext cx="742193" cy="9187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w:t>
      </w:r>
      <w:proofErr w:type="gramStart"/>
      <w:r w:rsidR="00404E5B">
        <w:rPr>
          <w:rFonts w:ascii="Arial"/>
          <w:color w:val="BF5A14"/>
        </w:rPr>
        <w:t>limit)</w:t>
      </w:r>
      <w:r w:rsidR="00A52075" w:rsidRPr="00A52075">
        <w:rPr>
          <w:rFonts w:ascii="Times New Roman" w:hAnsi="Times New Roman" w:cs="Times New Roman"/>
          <w:sz w:val="24"/>
          <w:szCs w:val="24"/>
        </w:rPr>
        <w:t xml:space="preserve"> </w:t>
      </w:r>
      <w:r w:rsidR="00C27049">
        <w:rPr>
          <w:rFonts w:ascii="Times New Roman" w:hAnsi="Times New Roman" w:cs="Times New Roman"/>
          <w:sz w:val="24"/>
          <w:szCs w:val="24"/>
        </w:rPr>
        <w:t xml:space="preserve">  </w:t>
      </w:r>
      <w:proofErr w:type="gramEnd"/>
      <w:r w:rsidR="00C27049">
        <w:rPr>
          <w:rFonts w:ascii="Times New Roman" w:hAnsi="Times New Roman" w:cs="Times New Roman"/>
          <w:sz w:val="24"/>
          <w:szCs w:val="24"/>
        </w:rPr>
        <w:t xml:space="preserve">                                                                  </w:t>
      </w:r>
      <w:r w:rsidR="00C27049">
        <w:rPr>
          <w:noProof/>
        </w:rPr>
        <w:drawing>
          <wp:inline distT="0" distB="0" distL="0" distR="0" wp14:anchorId="298A4A1E" wp14:editId="0D9F544C">
            <wp:extent cx="771733" cy="768545"/>
            <wp:effectExtent l="0" t="0" r="9525" b="0"/>
            <wp:docPr id="6" name="图片 6" descr="中国人民解放军总医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中国人民解放军总医院"/>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2273" t="14645" r="22156" b="14051"/>
                    <a:stretch/>
                  </pic:blipFill>
                  <pic:spPr bwMode="auto">
                    <a:xfrm>
                      <a:off x="0" y="0"/>
                      <a:ext cx="792657" cy="789382"/>
                    </a:xfrm>
                    <a:prstGeom prst="rect">
                      <a:avLst/>
                    </a:prstGeom>
                    <a:noFill/>
                    <a:ln>
                      <a:noFill/>
                    </a:ln>
                    <a:extLst>
                      <a:ext uri="{53640926-AAD7-44D8-BBD7-CCE9431645EC}">
                        <a14:shadowObscured xmlns:a14="http://schemas.microsoft.com/office/drawing/2010/main"/>
                      </a:ext>
                    </a:extLst>
                  </pic:spPr>
                </pic:pic>
              </a:graphicData>
            </a:graphic>
          </wp:inline>
        </w:drawing>
      </w:r>
    </w:p>
    <w:p w14:paraId="384D3487" w14:textId="43640AA4" w:rsidR="00371FA0" w:rsidRDefault="00C27049" w:rsidP="00495F59">
      <w:pPr>
        <w:spacing w:before="41" w:line="154" w:lineRule="exact"/>
        <w:ind w:left="213" w:right="231"/>
        <w:jc w:val="both"/>
        <w:rPr>
          <w:rFonts w:ascii="Arial"/>
          <w:sz w:val="14"/>
        </w:rPr>
      </w:pPr>
      <w:r>
        <w:rPr>
          <w:rFonts w:ascii="Arial"/>
          <w:sz w:val="14"/>
        </w:rPr>
        <w:t>Bo Cao</w:t>
      </w:r>
      <w:r w:rsidR="00A9710C">
        <w:rPr>
          <w:rFonts w:ascii="Arial"/>
          <w:sz w:val="14"/>
        </w:rPr>
        <w:t xml:space="preserve"> has </w:t>
      </w:r>
      <w:r>
        <w:rPr>
          <w:rFonts w:ascii="Arial"/>
          <w:sz w:val="14"/>
        </w:rPr>
        <w:t>his</w:t>
      </w:r>
      <w:r w:rsidR="00A9710C">
        <w:rPr>
          <w:rFonts w:ascii="Arial"/>
          <w:sz w:val="14"/>
        </w:rPr>
        <w:t xml:space="preserve"> expertise in </w:t>
      </w:r>
      <w:r w:rsidR="00702C9B">
        <w:rPr>
          <w:rFonts w:ascii="Arial"/>
          <w:sz w:val="14"/>
        </w:rPr>
        <w:t xml:space="preserve">mechanism </w:t>
      </w:r>
      <w:r w:rsidR="00702C9B">
        <w:rPr>
          <w:rFonts w:ascii="Arial"/>
          <w:sz w:val="14"/>
        </w:rPr>
        <w:t>exploration</w:t>
      </w:r>
      <w:r w:rsidR="00702C9B">
        <w:rPr>
          <w:rFonts w:ascii="Arial"/>
          <w:sz w:val="14"/>
        </w:rPr>
        <w:t xml:space="preserve"> of </w:t>
      </w:r>
      <w:r w:rsidR="00963FE0">
        <w:rPr>
          <w:rFonts w:ascii="Arial"/>
          <w:sz w:val="14"/>
        </w:rPr>
        <w:t>metabolic reprogramming</w:t>
      </w:r>
      <w:r w:rsidR="00702C9B">
        <w:rPr>
          <w:rFonts w:ascii="Arial"/>
          <w:sz w:val="14"/>
        </w:rPr>
        <w:t xml:space="preserve"> and </w:t>
      </w:r>
      <w:r w:rsidR="00963FE0">
        <w:rPr>
          <w:rFonts w:ascii="Arial"/>
          <w:sz w:val="14"/>
        </w:rPr>
        <w:t>gastric cancer development</w:t>
      </w:r>
      <w:r w:rsidR="00A9710C">
        <w:rPr>
          <w:rFonts w:ascii="Arial"/>
          <w:sz w:val="14"/>
        </w:rPr>
        <w:t xml:space="preserve">. </w:t>
      </w:r>
      <w:r w:rsidR="00371FA0">
        <w:rPr>
          <w:rFonts w:ascii="Arial"/>
          <w:sz w:val="14"/>
        </w:rPr>
        <w:t xml:space="preserve">His findings </w:t>
      </w:r>
      <w:r w:rsidR="00A3621A">
        <w:rPr>
          <w:rFonts w:ascii="Arial"/>
          <w:sz w:val="14"/>
        </w:rPr>
        <w:t>uncover the mechanistic associations between glucose, lipid metabolism and cancer</w:t>
      </w:r>
      <w:r w:rsidR="001C675C">
        <w:rPr>
          <w:rFonts w:ascii="Arial"/>
          <w:sz w:val="14"/>
        </w:rPr>
        <w:t xml:space="preserve"> progression, further enriching the proof for the </w:t>
      </w:r>
      <w:r w:rsidR="001C675C" w:rsidRPr="001C675C">
        <w:rPr>
          <w:rFonts w:ascii="Arial"/>
          <w:sz w:val="14"/>
        </w:rPr>
        <w:t>hypothesis</w:t>
      </w:r>
      <w:r w:rsidR="001C675C">
        <w:rPr>
          <w:rFonts w:ascii="Arial"/>
          <w:sz w:val="14"/>
        </w:rPr>
        <w:t xml:space="preserve"> of metabolism-driven cancer initiation and progress. </w:t>
      </w:r>
      <w:r w:rsidR="00064547">
        <w:rPr>
          <w:rFonts w:ascii="Arial"/>
          <w:sz w:val="14"/>
        </w:rPr>
        <w:t xml:space="preserve">They also </w:t>
      </w:r>
      <w:r w:rsidR="00371FA0">
        <w:rPr>
          <w:rFonts w:ascii="Arial"/>
          <w:sz w:val="14"/>
        </w:rPr>
        <w:t xml:space="preserve">provide </w:t>
      </w:r>
      <w:r w:rsidR="00371FA0">
        <w:rPr>
          <w:rFonts w:ascii="Arial"/>
          <w:sz w:val="14"/>
        </w:rPr>
        <w:t>novel</w:t>
      </w:r>
      <w:r w:rsidR="00371FA0">
        <w:rPr>
          <w:rFonts w:ascii="Arial"/>
          <w:sz w:val="14"/>
        </w:rPr>
        <w:t xml:space="preserve"> diagnostic biomarkers, prognostic </w:t>
      </w:r>
      <w:proofErr w:type="gramStart"/>
      <w:r w:rsidR="00371FA0">
        <w:rPr>
          <w:rFonts w:ascii="Arial"/>
          <w:sz w:val="14"/>
        </w:rPr>
        <w:t>factors</w:t>
      </w:r>
      <w:proofErr w:type="gramEnd"/>
      <w:r w:rsidR="00371FA0">
        <w:rPr>
          <w:rFonts w:ascii="Arial"/>
          <w:sz w:val="14"/>
        </w:rPr>
        <w:t xml:space="preserve"> and therapeutic targets for clinical practice of gastric cancer. </w:t>
      </w:r>
      <w:r w:rsidR="007E6D60">
        <w:rPr>
          <w:rFonts w:ascii="Arial"/>
          <w:sz w:val="14"/>
        </w:rPr>
        <w:t>The regulatory relationships between noncoding RNAs and critical enzymes</w:t>
      </w:r>
      <w:r w:rsidR="006F46CC">
        <w:rPr>
          <w:rFonts w:ascii="Arial"/>
          <w:sz w:val="14"/>
        </w:rPr>
        <w:t xml:space="preserve"> by the existing studies </w:t>
      </w:r>
      <w:r w:rsidR="000050D6">
        <w:rPr>
          <w:rFonts w:ascii="Arial"/>
          <w:sz w:val="14"/>
        </w:rPr>
        <w:t>of</w:t>
      </w:r>
      <w:r w:rsidR="006F46CC">
        <w:rPr>
          <w:rFonts w:ascii="Arial"/>
          <w:sz w:val="14"/>
        </w:rPr>
        <w:t xml:space="preserve"> Bo Cao.</w:t>
      </w:r>
    </w:p>
    <w:p w14:paraId="2A4F9313" w14:textId="35981571" w:rsidR="00AE3E37" w:rsidRDefault="00A9710C">
      <w:pPr>
        <w:spacing w:before="62"/>
        <w:ind w:left="4217" w:right="4235"/>
        <w:jc w:val="center"/>
        <w:rPr>
          <w:rFonts w:ascii="Arial"/>
          <w:sz w:val="14"/>
        </w:rPr>
      </w:pPr>
      <w:r>
        <w:rPr>
          <w:rFonts w:ascii="Arial"/>
          <w:sz w:val="14"/>
        </w:rPr>
        <w:t xml:space="preserve">Email: </w:t>
      </w:r>
      <w:r w:rsidR="00FA02A3">
        <w:rPr>
          <w:rStyle w:val="ac"/>
          <w:rFonts w:ascii="Arial"/>
          <w:sz w:val="14"/>
        </w:rPr>
        <w:t>caobo_dark@163.com</w:t>
      </w:r>
    </w:p>
    <w:p w14:paraId="49C9FA0C" w14:textId="77777777" w:rsidR="00AE3E37" w:rsidRDefault="00292ED9">
      <w:pPr>
        <w:pStyle w:val="a3"/>
        <w:spacing w:before="2"/>
        <w:rPr>
          <w:rFonts w:ascii="Arial"/>
          <w:sz w:val="19"/>
        </w:rPr>
      </w:pPr>
      <w:r>
        <w:rPr>
          <w:noProof/>
        </w:rPr>
        <mc:AlternateContent>
          <mc:Choice Requires="wps">
            <w:drawing>
              <wp:anchor distT="0" distB="0" distL="0" distR="0" simplePos="0" relativeHeight="251656192" behindDoc="0" locked="0" layoutInCell="1" allowOverlap="1" wp14:anchorId="24EDA877" wp14:editId="4C6494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4BB0"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48A7666" w14:textId="77777777" w:rsidR="00AE3E37" w:rsidRDefault="00AE3E37">
      <w:pPr>
        <w:pStyle w:val="a3"/>
        <w:rPr>
          <w:rFonts w:ascii="Arial"/>
          <w:sz w:val="20"/>
        </w:rPr>
      </w:pPr>
    </w:p>
    <w:p w14:paraId="7DE66A76" w14:textId="1980A188" w:rsidR="00EA7D51" w:rsidRDefault="00EA7D51" w:rsidP="009B3777">
      <w:pPr>
        <w:spacing w:before="39"/>
        <w:rPr>
          <w:rFonts w:ascii="Minion Pro"/>
          <w:b/>
          <w:sz w:val="20"/>
        </w:rPr>
      </w:pPr>
    </w:p>
    <w:p w14:paraId="76C19673" w14:textId="77777777" w:rsidR="005463BA" w:rsidRDefault="005463BA" w:rsidP="009B3777">
      <w:pPr>
        <w:spacing w:before="39"/>
        <w:rPr>
          <w:rFonts w:ascii="Minion Pro"/>
          <w:b/>
          <w:sz w:val="20"/>
        </w:rPr>
      </w:pPr>
    </w:p>
    <w:p w14:paraId="0B8F3186" w14:textId="7613A42A"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E35E2F">
        <w:rPr>
          <w:sz w:val="20"/>
          <w:szCs w:val="20"/>
          <w:lang w:val="en-NZ"/>
        </w:rPr>
        <w:t xml:space="preserve"> Bo Cao</w:t>
      </w:r>
      <w:r w:rsidRPr="00F35A62">
        <w:rPr>
          <w:sz w:val="20"/>
          <w:szCs w:val="20"/>
          <w:lang w:val="en-NZ"/>
        </w:rPr>
        <w:br/>
        <w:t>Contact number:</w:t>
      </w:r>
      <w:r w:rsidR="00AE06BA">
        <w:rPr>
          <w:sz w:val="20"/>
          <w:szCs w:val="20"/>
          <w:lang w:val="en-NZ"/>
        </w:rPr>
        <w:t xml:space="preserve"> +86 13366898958</w:t>
      </w:r>
      <w:r w:rsidRPr="00F35A62">
        <w:rPr>
          <w:sz w:val="20"/>
          <w:szCs w:val="20"/>
          <w:lang w:val="en-NZ"/>
        </w:rPr>
        <w:br/>
        <w:t>Twitter account:</w:t>
      </w:r>
      <w:r w:rsidR="00AE06BA">
        <w:rPr>
          <w:sz w:val="20"/>
          <w:szCs w:val="20"/>
          <w:lang w:val="en-NZ"/>
        </w:rPr>
        <w:t xml:space="preserve"> </w:t>
      </w:r>
      <w:r w:rsidR="00E123E9">
        <w:rPr>
          <w:sz w:val="20"/>
          <w:szCs w:val="20"/>
          <w:lang w:val="en-NZ"/>
        </w:rPr>
        <w:t>Not applicable</w:t>
      </w:r>
      <w:r w:rsidRPr="00F35A62">
        <w:rPr>
          <w:sz w:val="20"/>
          <w:szCs w:val="20"/>
          <w:lang w:val="en-NZ"/>
        </w:rPr>
        <w:br/>
      </w:r>
      <w:r w:rsidRPr="00F35A62">
        <w:rPr>
          <w:sz w:val="20"/>
          <w:szCs w:val="20"/>
          <w:lang w:val="en-NZ"/>
        </w:rPr>
        <w:lastRenderedPageBreak/>
        <w:t>Linked In account:</w:t>
      </w:r>
      <w:r w:rsidR="00E123E9">
        <w:rPr>
          <w:sz w:val="20"/>
          <w:szCs w:val="20"/>
          <w:lang w:val="en-NZ"/>
        </w:rPr>
        <w:t xml:space="preserve"> caobo_dark@163.com</w:t>
      </w:r>
    </w:p>
    <w:p w14:paraId="0F6B9083" w14:textId="203D11B1"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971572" w:rsidRPr="00971572">
        <w:rPr>
          <w:sz w:val="20"/>
          <w:szCs w:val="20"/>
          <w:lang w:val="en-NZ"/>
        </w:rPr>
        <w:t>Metabolomics in the field of Oncology / Cancer Metabolomics</w:t>
      </w:r>
      <w:r w:rsidRPr="00F35A62">
        <w:rPr>
          <w:sz w:val="20"/>
          <w:szCs w:val="20"/>
          <w:lang w:val="en-NZ"/>
        </w:rPr>
        <w:br/>
        <w:t>Category: Oral presentation</w:t>
      </w:r>
      <w:r w:rsidR="00220794">
        <w:rPr>
          <w:sz w:val="20"/>
          <w:szCs w:val="20"/>
          <w:lang w:val="en-NZ"/>
        </w:rPr>
        <w:t xml:space="preserve"> or </w:t>
      </w:r>
      <w:r w:rsidR="00C001F0">
        <w:rPr>
          <w:sz w:val="20"/>
          <w:szCs w:val="20"/>
          <w:lang w:val="en-NZ"/>
        </w:rPr>
        <w:t>p</w:t>
      </w:r>
      <w:r w:rsidRPr="00F35A62">
        <w:rPr>
          <w:sz w:val="20"/>
          <w:szCs w:val="20"/>
          <w:lang w:val="en-NZ"/>
        </w:rPr>
        <w:t>oster presentation</w:t>
      </w:r>
      <w:r w:rsidRPr="00F35A62">
        <w:rPr>
          <w:sz w:val="20"/>
          <w:szCs w:val="20"/>
          <w:lang w:val="en-NZ"/>
        </w:rPr>
        <w:br/>
      </w:r>
    </w:p>
    <w:p w14:paraId="2C93B939"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A358C0F" w14:textId="2E66AA16" w:rsidR="00AE3E37" w:rsidRDefault="00AE3E37" w:rsidP="00475D20">
      <w:pPr>
        <w:jc w:val="both"/>
        <w:rPr>
          <w:rFonts w:ascii="Minion Pro"/>
          <w:sz w:val="26"/>
        </w:rPr>
      </w:pPr>
    </w:p>
    <w:p w14:paraId="636CAF91" w14:textId="5B9830BB" w:rsidR="006A168D" w:rsidRDefault="006A168D" w:rsidP="00475D20">
      <w:pPr>
        <w:jc w:val="both"/>
        <w:rPr>
          <w:rFonts w:ascii="Minion Pro"/>
          <w:sz w:val="26"/>
        </w:rPr>
      </w:pPr>
    </w:p>
    <w:p w14:paraId="4FE5CF2B" w14:textId="77777777" w:rsidR="006A168D" w:rsidRPr="006A168D" w:rsidRDefault="006A168D" w:rsidP="006A168D">
      <w:pPr>
        <w:jc w:val="both"/>
        <w:rPr>
          <w:rFonts w:ascii="Minion Pro"/>
          <w:sz w:val="26"/>
        </w:rPr>
      </w:pPr>
    </w:p>
    <w:p w14:paraId="3E498834" w14:textId="77777777" w:rsidR="006A168D" w:rsidRPr="006A168D" w:rsidRDefault="006A168D" w:rsidP="006A168D">
      <w:pPr>
        <w:jc w:val="both"/>
        <w:rPr>
          <w:rFonts w:ascii="Minion Pro"/>
          <w:sz w:val="26"/>
        </w:rPr>
      </w:pPr>
      <w:bookmarkStart w:id="0" w:name="_Hlk92144201"/>
      <w:r w:rsidRPr="006A168D">
        <w:rPr>
          <w:rFonts w:ascii="Minion Pro"/>
          <w:sz w:val="26"/>
        </w:rPr>
        <w:tab/>
        <w:t>1. Cao B, Liu G, Zhang W, Shi Y, Wei B. Role of circular RNAs and long non</w:t>
      </w:r>
      <w:r w:rsidRPr="006A168D">
        <w:rPr>
          <w:rFonts w:ascii="MS Gothic" w:eastAsia="MS Gothic" w:hAnsi="MS Gothic" w:cs="MS Gothic" w:hint="eastAsia"/>
          <w:sz w:val="26"/>
        </w:rPr>
        <w:t>‑</w:t>
      </w:r>
      <w:r w:rsidRPr="006A168D">
        <w:rPr>
          <w:rFonts w:ascii="Minion Pro"/>
          <w:sz w:val="26"/>
        </w:rPr>
        <w:t>coding RNAs in the clinical translation of gastric cancer (Review). Int J Mol Med 2021;47: 77-91.</w:t>
      </w:r>
    </w:p>
    <w:p w14:paraId="25FAF5BB" w14:textId="77777777" w:rsidR="006A168D" w:rsidRPr="006A168D" w:rsidRDefault="006A168D" w:rsidP="006A168D">
      <w:pPr>
        <w:jc w:val="both"/>
        <w:rPr>
          <w:rFonts w:ascii="Minion Pro"/>
          <w:sz w:val="26"/>
        </w:rPr>
      </w:pPr>
      <w:r w:rsidRPr="006A168D">
        <w:rPr>
          <w:rFonts w:ascii="Minion Pro"/>
          <w:sz w:val="26"/>
        </w:rPr>
        <w:tab/>
        <w:t xml:space="preserve">2. Cao B, Zhang KC, Wei B, Chen L. </w:t>
      </w:r>
      <w:proofErr w:type="gramStart"/>
      <w:r w:rsidRPr="006A168D">
        <w:rPr>
          <w:rFonts w:ascii="Minion Pro"/>
          <w:sz w:val="26"/>
        </w:rPr>
        <w:t>Status quo</w:t>
      </w:r>
      <w:proofErr w:type="gramEnd"/>
      <w:r w:rsidRPr="006A168D">
        <w:rPr>
          <w:rFonts w:ascii="Minion Pro"/>
          <w:sz w:val="26"/>
        </w:rPr>
        <w:t xml:space="preserve"> and future prospects of artificial neural network from the perspective of gastroenterologists. World J Gastroenterol 2021;27: 2681-709.</w:t>
      </w:r>
    </w:p>
    <w:p w14:paraId="27B1BB4F" w14:textId="77777777" w:rsidR="006A168D" w:rsidRPr="006A168D" w:rsidRDefault="006A168D" w:rsidP="006A168D">
      <w:pPr>
        <w:jc w:val="both"/>
        <w:rPr>
          <w:rFonts w:ascii="Minion Pro"/>
          <w:sz w:val="26"/>
        </w:rPr>
      </w:pPr>
      <w:r w:rsidRPr="006A168D">
        <w:rPr>
          <w:rFonts w:ascii="Minion Pro"/>
          <w:sz w:val="26"/>
        </w:rPr>
        <w:tab/>
        <w:t xml:space="preserve">3. Cui H, Cao B, Liu G, Xi H, Chen Z, Liang W, Zhang K, Cui J, </w:t>
      </w:r>
      <w:proofErr w:type="spellStart"/>
      <w:r w:rsidRPr="006A168D">
        <w:rPr>
          <w:rFonts w:ascii="Minion Pro"/>
          <w:sz w:val="26"/>
        </w:rPr>
        <w:t>Xie</w:t>
      </w:r>
      <w:proofErr w:type="spellEnd"/>
      <w:r w:rsidRPr="006A168D">
        <w:rPr>
          <w:rFonts w:ascii="Minion Pro"/>
          <w:sz w:val="26"/>
        </w:rPr>
        <w:t xml:space="preserve"> T, Deng H, Tang Y, Chen L, et al. Comparison of short-term outcomes and quality of life in totally laparoscopic distal gastrectomy and totally robotic distal gastrectomy for clinical stage I-III gastric cancer: study protocol for a multi-institutional </w:t>
      </w:r>
      <w:proofErr w:type="spellStart"/>
      <w:r w:rsidRPr="006A168D">
        <w:rPr>
          <w:rFonts w:ascii="Minion Pro"/>
          <w:sz w:val="26"/>
        </w:rPr>
        <w:t>randomised</w:t>
      </w:r>
      <w:proofErr w:type="spellEnd"/>
      <w:r w:rsidRPr="006A168D">
        <w:rPr>
          <w:rFonts w:ascii="Minion Pro"/>
          <w:sz w:val="26"/>
        </w:rPr>
        <w:t xml:space="preserve"> clinical trial. BMJ open 2021;11: e043535.</w:t>
      </w:r>
    </w:p>
    <w:p w14:paraId="686B9E43" w14:textId="77777777" w:rsidR="006A168D" w:rsidRPr="006A168D" w:rsidRDefault="006A168D" w:rsidP="006A168D">
      <w:pPr>
        <w:jc w:val="both"/>
        <w:rPr>
          <w:rFonts w:ascii="Minion Pro"/>
          <w:sz w:val="26"/>
        </w:rPr>
      </w:pPr>
      <w:r w:rsidRPr="006A168D">
        <w:rPr>
          <w:rFonts w:ascii="Minion Pro"/>
          <w:sz w:val="26"/>
        </w:rPr>
        <w:tab/>
        <w:t xml:space="preserve">4. Wang Y, Cao B, Zhao R, Li H, Wei B, Dai G. Knockdown of </w:t>
      </w:r>
      <w:proofErr w:type="spellStart"/>
      <w:r w:rsidRPr="006A168D">
        <w:rPr>
          <w:rFonts w:ascii="Minion Pro"/>
          <w:sz w:val="26"/>
        </w:rPr>
        <w:t>circBFAR</w:t>
      </w:r>
      <w:proofErr w:type="spellEnd"/>
      <w:r w:rsidRPr="006A168D">
        <w:rPr>
          <w:rFonts w:ascii="Minion Pro"/>
          <w:sz w:val="26"/>
        </w:rPr>
        <w:t xml:space="preserve"> inhibits proliferation and glycolysis in gastric cancer by sponging miR-513a-3p/hexokinase 2 axis. </w:t>
      </w:r>
      <w:proofErr w:type="spellStart"/>
      <w:r w:rsidRPr="006A168D">
        <w:rPr>
          <w:rFonts w:ascii="Minion Pro"/>
          <w:sz w:val="26"/>
        </w:rPr>
        <w:t>Biochem</w:t>
      </w:r>
      <w:proofErr w:type="spellEnd"/>
      <w:r w:rsidRPr="006A168D">
        <w:rPr>
          <w:rFonts w:ascii="Minion Pro"/>
          <w:sz w:val="26"/>
        </w:rPr>
        <w:t xml:space="preserve"> </w:t>
      </w:r>
      <w:proofErr w:type="spellStart"/>
      <w:r w:rsidRPr="006A168D">
        <w:rPr>
          <w:rFonts w:ascii="Minion Pro"/>
          <w:sz w:val="26"/>
        </w:rPr>
        <w:t>Biophys</w:t>
      </w:r>
      <w:proofErr w:type="spellEnd"/>
      <w:r w:rsidRPr="006A168D">
        <w:rPr>
          <w:rFonts w:ascii="Minion Pro"/>
          <w:sz w:val="26"/>
        </w:rPr>
        <w:t xml:space="preserve"> Res </w:t>
      </w:r>
      <w:proofErr w:type="spellStart"/>
      <w:r w:rsidRPr="006A168D">
        <w:rPr>
          <w:rFonts w:ascii="Minion Pro"/>
          <w:sz w:val="26"/>
        </w:rPr>
        <w:t>Commun</w:t>
      </w:r>
      <w:proofErr w:type="spellEnd"/>
      <w:r w:rsidRPr="006A168D">
        <w:rPr>
          <w:rFonts w:ascii="Minion Pro"/>
          <w:sz w:val="26"/>
        </w:rPr>
        <w:t xml:space="preserve"> 2021;560: 80-6.</w:t>
      </w:r>
    </w:p>
    <w:p w14:paraId="03A36502" w14:textId="77777777" w:rsidR="006A168D" w:rsidRPr="006A168D" w:rsidRDefault="006A168D" w:rsidP="006A168D">
      <w:pPr>
        <w:jc w:val="both"/>
        <w:rPr>
          <w:rFonts w:ascii="Minion Pro"/>
          <w:sz w:val="26"/>
        </w:rPr>
      </w:pPr>
      <w:r w:rsidRPr="006A168D">
        <w:rPr>
          <w:rFonts w:ascii="Minion Pro"/>
          <w:sz w:val="26"/>
        </w:rPr>
        <w:tab/>
        <w:t>5. Zhao R, Cao B, Li H, Li T, Xu X, Cui H, Deng H, Wei B. Glucose starvation suppresses gastric cancer through targeting miR-216a-5p/Farnesyl-Diphosphate Farnesyltransferase 1 axis. Cancer Cell Int 2021;21: 704.</w:t>
      </w:r>
    </w:p>
    <w:bookmarkEnd w:id="0"/>
    <w:p w14:paraId="789254B7" w14:textId="77777777" w:rsidR="006A168D" w:rsidRDefault="006A168D" w:rsidP="00475D20">
      <w:pPr>
        <w:jc w:val="both"/>
        <w:rPr>
          <w:rFonts w:ascii="Minion Pro"/>
          <w:sz w:val="26"/>
        </w:rPr>
      </w:pPr>
    </w:p>
    <w:sectPr w:rsidR="006A168D"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50FAE" w14:textId="77777777" w:rsidR="003E4B8A" w:rsidRDefault="003E4B8A">
      <w:r>
        <w:separator/>
      </w:r>
    </w:p>
  </w:endnote>
  <w:endnote w:type="continuationSeparator" w:id="0">
    <w:p w14:paraId="18E5E17F" w14:textId="77777777" w:rsidR="003E4B8A" w:rsidRDefault="003E4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CBDF"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7406E974" wp14:editId="483700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3B7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A49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06E97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AF3B7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A49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124981A" wp14:editId="73EBC2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1C2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E1DBE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4981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D41C2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E1DBE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8FF85E" wp14:editId="4C3808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873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0BB1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FF85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C1873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0BB1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118B3" w14:textId="77777777" w:rsidR="003E4B8A" w:rsidRDefault="003E4B8A">
      <w:r>
        <w:separator/>
      </w:r>
    </w:p>
  </w:footnote>
  <w:footnote w:type="continuationSeparator" w:id="0">
    <w:p w14:paraId="64370D09" w14:textId="77777777" w:rsidR="003E4B8A" w:rsidRDefault="003E4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投稿版Intl J Cancer&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vrdpterwtxe4e20tl5twrtdzf2z92eerzf&quot;&gt;文献&lt;record-ids&gt;&lt;item&gt;294&lt;/item&gt;&lt;item&gt;295&lt;/item&gt;&lt;item&gt;296&lt;/item&gt;&lt;item&gt;298&lt;/item&gt;&lt;item&gt;299&lt;/item&gt;&lt;/record-ids&gt;&lt;/item&gt;&lt;/Libraries&gt;"/>
  </w:docVars>
  <w:rsids>
    <w:rsidRoot w:val="00AE3E37"/>
    <w:rsid w:val="000050D6"/>
    <w:rsid w:val="00011631"/>
    <w:rsid w:val="0002301A"/>
    <w:rsid w:val="000534A1"/>
    <w:rsid w:val="00064547"/>
    <w:rsid w:val="0006797A"/>
    <w:rsid w:val="000917E6"/>
    <w:rsid w:val="000B4CAA"/>
    <w:rsid w:val="000E2911"/>
    <w:rsid w:val="000E4100"/>
    <w:rsid w:val="001263DF"/>
    <w:rsid w:val="00177530"/>
    <w:rsid w:val="001C675C"/>
    <w:rsid w:val="00220794"/>
    <w:rsid w:val="00292ED9"/>
    <w:rsid w:val="00351D9B"/>
    <w:rsid w:val="00371FA0"/>
    <w:rsid w:val="00380299"/>
    <w:rsid w:val="003E4B8A"/>
    <w:rsid w:val="00404E5B"/>
    <w:rsid w:val="00414F7B"/>
    <w:rsid w:val="004355DC"/>
    <w:rsid w:val="004749B4"/>
    <w:rsid w:val="00475D20"/>
    <w:rsid w:val="00494130"/>
    <w:rsid w:val="00495F59"/>
    <w:rsid w:val="004F3523"/>
    <w:rsid w:val="005463BA"/>
    <w:rsid w:val="0058637C"/>
    <w:rsid w:val="00590D60"/>
    <w:rsid w:val="005973B9"/>
    <w:rsid w:val="005B3A56"/>
    <w:rsid w:val="005D72B5"/>
    <w:rsid w:val="006060CE"/>
    <w:rsid w:val="0061505C"/>
    <w:rsid w:val="0063497F"/>
    <w:rsid w:val="006A168D"/>
    <w:rsid w:val="006F46CC"/>
    <w:rsid w:val="00702C9B"/>
    <w:rsid w:val="00714354"/>
    <w:rsid w:val="007E6D60"/>
    <w:rsid w:val="00873DF0"/>
    <w:rsid w:val="008756E6"/>
    <w:rsid w:val="00897EC5"/>
    <w:rsid w:val="008A0763"/>
    <w:rsid w:val="008E5477"/>
    <w:rsid w:val="00963FE0"/>
    <w:rsid w:val="00964161"/>
    <w:rsid w:val="00971572"/>
    <w:rsid w:val="009B2D44"/>
    <w:rsid w:val="009B3777"/>
    <w:rsid w:val="00A07E82"/>
    <w:rsid w:val="00A3621A"/>
    <w:rsid w:val="00A52075"/>
    <w:rsid w:val="00A66373"/>
    <w:rsid w:val="00A84D9C"/>
    <w:rsid w:val="00A9710C"/>
    <w:rsid w:val="00AE06BA"/>
    <w:rsid w:val="00AE3E37"/>
    <w:rsid w:val="00B21A57"/>
    <w:rsid w:val="00BE6743"/>
    <w:rsid w:val="00C001F0"/>
    <w:rsid w:val="00C27049"/>
    <w:rsid w:val="00C33602"/>
    <w:rsid w:val="00C56C74"/>
    <w:rsid w:val="00C72511"/>
    <w:rsid w:val="00CD6F55"/>
    <w:rsid w:val="00DA3009"/>
    <w:rsid w:val="00DE3104"/>
    <w:rsid w:val="00DE6170"/>
    <w:rsid w:val="00DE6AEE"/>
    <w:rsid w:val="00E123E9"/>
    <w:rsid w:val="00E30AAC"/>
    <w:rsid w:val="00E35E2F"/>
    <w:rsid w:val="00E95D97"/>
    <w:rsid w:val="00EA7D51"/>
    <w:rsid w:val="00EB77F8"/>
    <w:rsid w:val="00F046EA"/>
    <w:rsid w:val="00F312EA"/>
    <w:rsid w:val="00F35A62"/>
    <w:rsid w:val="00F55486"/>
    <w:rsid w:val="00F72EEA"/>
    <w:rsid w:val="00F83811"/>
    <w:rsid w:val="00F84CAE"/>
    <w:rsid w:val="00FA02A3"/>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A10BE"/>
  <w15:docId w15:val="{934BB4BE-8989-408D-B4F5-34C14B02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EndNoteBibliographyTitle">
    <w:name w:val="EndNote Bibliography Title"/>
    <w:basedOn w:val="a"/>
    <w:link w:val="EndNoteBibliographyTitle0"/>
    <w:rsid w:val="006A168D"/>
    <w:pPr>
      <w:jc w:val="center"/>
    </w:pPr>
    <w:rPr>
      <w:noProof/>
    </w:rPr>
  </w:style>
  <w:style w:type="character" w:customStyle="1" w:styleId="EndNoteBibliographyTitle0">
    <w:name w:val="EndNote Bibliography Title 字符"/>
    <w:basedOn w:val="a0"/>
    <w:link w:val="EndNoteBibliographyTitle"/>
    <w:rsid w:val="006A168D"/>
    <w:rPr>
      <w:rFonts w:ascii="Tw Cen MT" w:eastAsia="Tw Cen MT" w:hAnsi="Tw Cen MT" w:cs="Tw Cen MT"/>
      <w:noProof/>
    </w:rPr>
  </w:style>
  <w:style w:type="paragraph" w:customStyle="1" w:styleId="EndNoteBibliography">
    <w:name w:val="EndNote Bibliography"/>
    <w:basedOn w:val="a"/>
    <w:link w:val="EndNoteBibliography0"/>
    <w:rsid w:val="006A168D"/>
    <w:pPr>
      <w:jc w:val="both"/>
    </w:pPr>
    <w:rPr>
      <w:noProof/>
    </w:rPr>
  </w:style>
  <w:style w:type="character" w:customStyle="1" w:styleId="EndNoteBibliography0">
    <w:name w:val="EndNote Bibliography 字符"/>
    <w:basedOn w:val="a0"/>
    <w:link w:val="EndNoteBibliography"/>
    <w:rsid w:val="006A168D"/>
    <w:rPr>
      <w:rFonts w:ascii="Tw Cen MT" w:eastAsia="Tw Cen MT" w:hAnsi="Tw Cen MT" w:cs="Tw Cen MT"/>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曹 博</cp:lastModifiedBy>
  <cp:revision>39</cp:revision>
  <dcterms:created xsi:type="dcterms:W3CDTF">2021-11-26T09:13:00Z</dcterms:created>
  <dcterms:modified xsi:type="dcterms:W3CDTF">2022-01-03T15:37:00Z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