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60AC45" w14:textId="397A9D81" w:rsidR="002C0F2B" w:rsidRDefault="002C0F2B" w:rsidP="004E4ECA">
      <w:pPr>
        <w:jc w:val="right"/>
        <w:rPr>
          <w:sz w:val="22"/>
          <w:szCs w:val="22"/>
          <w:lang w:val="en-GB"/>
        </w:rPr>
      </w:pPr>
      <w:r>
        <w:rPr>
          <w:sz w:val="22"/>
          <w:szCs w:val="22"/>
          <w:lang w:val="en-GB"/>
        </w:rPr>
        <w:t xml:space="preserve">                                                                                                                       </w:t>
      </w:r>
      <w:r w:rsidR="00FE069A" w:rsidRPr="002C0F2B">
        <w:rPr>
          <w:noProof/>
          <w:sz w:val="22"/>
          <w:szCs w:val="22"/>
          <w:lang w:val="en-GB"/>
        </w:rPr>
        <w:drawing>
          <wp:inline distT="0" distB="0" distL="0" distR="0" wp14:anchorId="044C1E5A" wp14:editId="231B6BD8">
            <wp:extent cx="975624" cy="1112211"/>
            <wp:effectExtent l="0" t="0" r="254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984876" cy="1122758"/>
                    </a:xfrm>
                    <a:prstGeom prst="rect">
                      <a:avLst/>
                    </a:prstGeom>
                    <a:noFill/>
                    <a:ln>
                      <a:noFill/>
                    </a:ln>
                  </pic:spPr>
                </pic:pic>
              </a:graphicData>
            </a:graphic>
          </wp:inline>
        </w:drawing>
      </w:r>
    </w:p>
    <w:p w14:paraId="303510F2" w14:textId="77777777" w:rsidR="00740EE0" w:rsidRDefault="00740EE0" w:rsidP="00AC3BCD">
      <w:pPr>
        <w:rPr>
          <w:rFonts w:ascii="Times" w:hAnsi="Times" w:cs="Lucidasans"/>
          <w:b/>
          <w:bCs/>
          <w:lang w:val="en-GB"/>
        </w:rPr>
      </w:pPr>
      <w:r w:rsidRPr="00740EE0">
        <w:rPr>
          <w:rFonts w:ascii="Times" w:hAnsi="Times" w:cs="Lucidasans"/>
          <w:b/>
          <w:bCs/>
          <w:lang w:val="en-GB"/>
        </w:rPr>
        <w:t>UHPLC-HRMS AND NMR BEYOND THE DICHOTOMY: A NOVEL ANALYTICAL APPROACH FOR METABOLOMICS</w:t>
      </w:r>
    </w:p>
    <w:p w14:paraId="5A7DEF96" w14:textId="344D8D89" w:rsidR="00AC3BCD" w:rsidRPr="004E4ECA" w:rsidRDefault="00AC3BCD" w:rsidP="004E4ECA">
      <w:pPr>
        <w:jc w:val="center"/>
        <w:rPr>
          <w:rFonts w:eastAsia="MS PGothic" w:hAnsi="Arial"/>
          <w:color w:val="000000"/>
          <w:lang w:val="en-US"/>
        </w:rPr>
      </w:pPr>
      <w:r w:rsidRPr="004E4ECA">
        <w:rPr>
          <w:rFonts w:eastAsia="MS PGothic" w:hAnsi="Arial"/>
          <w:color w:val="000000"/>
          <w:lang w:val="en-US"/>
        </w:rPr>
        <w:t xml:space="preserve">Name: </w:t>
      </w:r>
      <w:r w:rsidR="00740EE0" w:rsidRPr="004E4ECA">
        <w:rPr>
          <w:rFonts w:eastAsia="MS PGothic" w:hAnsi="Arial"/>
          <w:color w:val="000000"/>
          <w:lang w:val="en-US"/>
        </w:rPr>
        <w:t>Greta Petrella</w:t>
      </w:r>
    </w:p>
    <w:p w14:paraId="79666B69" w14:textId="509F238E" w:rsidR="00740EE0" w:rsidRPr="00740EE0" w:rsidRDefault="00740EE0" w:rsidP="00740EE0">
      <w:pPr>
        <w:jc w:val="center"/>
        <w:rPr>
          <w:rFonts w:ascii="Times" w:eastAsia="Times" w:hAnsi="Times" w:cs="Times"/>
          <w:lang w:val="en-GB"/>
        </w:rPr>
      </w:pPr>
      <w:r w:rsidRPr="00740EE0">
        <w:rPr>
          <w:rFonts w:ascii="Times" w:eastAsia="Times" w:hAnsi="Times" w:cs="Times"/>
          <w:lang w:val="en-GB"/>
        </w:rPr>
        <w:t>Department of Chemical Science and Tech</w:t>
      </w:r>
      <w:r>
        <w:rPr>
          <w:rFonts w:ascii="Times" w:eastAsia="Times" w:hAnsi="Times" w:cs="Times"/>
          <w:lang w:val="en-GB"/>
        </w:rPr>
        <w:t>nology</w:t>
      </w:r>
      <w:r w:rsidRPr="00740EE0">
        <w:rPr>
          <w:rFonts w:ascii="Times" w:eastAsia="Times" w:hAnsi="Times" w:cs="Times"/>
          <w:lang w:val="en-GB"/>
        </w:rPr>
        <w:t xml:space="preserve">, </w:t>
      </w:r>
      <w:r>
        <w:rPr>
          <w:rFonts w:ascii="Times" w:eastAsia="Times" w:hAnsi="Times" w:cs="Times"/>
          <w:lang w:val="en-GB"/>
        </w:rPr>
        <w:t>University of Rome</w:t>
      </w:r>
      <w:r w:rsidRPr="00740EE0">
        <w:rPr>
          <w:rFonts w:ascii="Times" w:eastAsia="Times" w:hAnsi="Times" w:cs="Times"/>
          <w:lang w:val="en-GB"/>
        </w:rPr>
        <w:t xml:space="preserve"> “Tor </w:t>
      </w:r>
      <w:proofErr w:type="spellStart"/>
      <w:r w:rsidRPr="00740EE0">
        <w:rPr>
          <w:rFonts w:ascii="Times" w:eastAsia="Times" w:hAnsi="Times" w:cs="Times"/>
          <w:lang w:val="en-GB"/>
        </w:rPr>
        <w:t>Vergata</w:t>
      </w:r>
      <w:proofErr w:type="spellEnd"/>
      <w:r w:rsidRPr="00740EE0">
        <w:rPr>
          <w:rFonts w:ascii="Times" w:eastAsia="Times" w:hAnsi="Times" w:cs="Times"/>
          <w:lang w:val="en-GB"/>
        </w:rPr>
        <w:t xml:space="preserve">”, </w:t>
      </w:r>
    </w:p>
    <w:p w14:paraId="2C5D2C8F" w14:textId="399738AF" w:rsidR="00AC3BCD" w:rsidRPr="00740EE0" w:rsidRDefault="00740EE0" w:rsidP="00740EE0">
      <w:pPr>
        <w:jc w:val="center"/>
        <w:rPr>
          <w:rFonts w:ascii="Times" w:eastAsia="MS PGothic" w:hAnsi="Times"/>
          <w:color w:val="000000"/>
          <w:lang w:val="en-GB"/>
        </w:rPr>
      </w:pPr>
      <w:r w:rsidRPr="00740EE0">
        <w:rPr>
          <w:rFonts w:ascii="Times" w:eastAsia="Times" w:hAnsi="Times" w:cs="Times"/>
          <w:lang w:val="en-GB"/>
        </w:rPr>
        <w:t>00133 Rome, Italy</w:t>
      </w:r>
    </w:p>
    <w:p w14:paraId="0D83388D" w14:textId="77777777" w:rsidR="00AC3BCD" w:rsidRPr="00740EE0" w:rsidRDefault="00AC3BCD" w:rsidP="00AC3BCD">
      <w:pPr>
        <w:jc w:val="center"/>
        <w:rPr>
          <w:rFonts w:eastAsia="Batang"/>
          <w:color w:val="0000FF"/>
          <w:sz w:val="36"/>
          <w:szCs w:val="36"/>
          <w:lang w:val="en-GB"/>
        </w:rPr>
      </w:pPr>
    </w:p>
    <w:p w14:paraId="180E5CFD" w14:textId="77777777" w:rsidR="00740EE0" w:rsidRPr="00740EE0" w:rsidRDefault="00740EE0" w:rsidP="00740EE0">
      <w:pPr>
        <w:jc w:val="both"/>
        <w:rPr>
          <w:rFonts w:eastAsia="MS PGothic"/>
          <w:color w:val="000000"/>
          <w:szCs w:val="32"/>
          <w:lang w:val="en-GB"/>
        </w:rPr>
      </w:pPr>
      <w:r w:rsidRPr="00740EE0">
        <w:rPr>
          <w:rFonts w:eastAsia="MS PGothic"/>
          <w:color w:val="000000"/>
          <w:szCs w:val="32"/>
          <w:lang w:val="en-GB"/>
        </w:rPr>
        <w:t xml:space="preserve">The value of combining NMR and MS, the two most commonly used techniques in metabolomics, is widely recognized </w:t>
      </w:r>
      <w:r w:rsidRPr="00740EE0">
        <w:rPr>
          <w:rFonts w:eastAsia="MS PGothic"/>
          <w:color w:val="000000"/>
          <w:szCs w:val="32"/>
          <w:lang w:val="en-US"/>
        </w:rPr>
        <w:fldChar w:fldCharType="begin" w:fldLock="1"/>
      </w:r>
      <w:r w:rsidRPr="00740EE0">
        <w:rPr>
          <w:rFonts w:eastAsia="MS PGothic"/>
          <w:color w:val="000000"/>
          <w:szCs w:val="32"/>
          <w:lang w:val="en-GB"/>
        </w:rPr>
        <w:instrText>ADDIN CSL_CITATION {"citationItems":[{"id":"ITEM-1","itemData":{"DOI":"10.1016/j.pnmrs.2017.01.001","ISBN":"2163684814","ISSN":"00796565","PMID":"28552170","abstract":"Metabolomics is undergoing tremendous growth and is being employed to solve a diversity of biological problems from environmental issues to the identification of biomarkers for human diseases. Nuclear magnetic resonance (NMR) and mass spectrometry (MS) are the analytical tools that are routinely, but separately, used to obtain metabolomics data sets due to their versatility, accessibility, and unique strengths. NMR requires minimal sample handling without the need for chromatography, is easily quantitative, and provides multiple means of metabolite identification, but is limited to detecting the most abundant metabolites (</w:instrText>
      </w:r>
      <w:r w:rsidRPr="00740EE0">
        <w:rPr>
          <w:rFonts w:ascii="Cambria Math" w:eastAsia="MS PGothic" w:hAnsi="Cambria Math" w:cs="Cambria Math"/>
          <w:color w:val="000000"/>
          <w:szCs w:val="32"/>
          <w:lang w:val="en-GB"/>
        </w:rPr>
        <w:instrText>⩾</w:instrText>
      </w:r>
      <w:r w:rsidRPr="00740EE0">
        <w:rPr>
          <w:rFonts w:eastAsia="MS PGothic"/>
          <w:color w:val="000000"/>
          <w:szCs w:val="32"/>
          <w:lang w:val="en-GB"/>
        </w:rPr>
        <w:instrText>1 μM). Conversely, mass spectrometry has the ability to measure metabolites at very low concentrations (femtomolar to attomolar) and has a higher resolution (</w:instrText>
      </w:r>
      <w:r w:rsidRPr="00740EE0">
        <w:rPr>
          <w:rFonts w:ascii="Cambria Math" w:eastAsia="MS PGothic" w:hAnsi="Cambria Math" w:cs="Cambria Math"/>
          <w:color w:val="000000"/>
          <w:szCs w:val="32"/>
          <w:lang w:val="en-GB"/>
        </w:rPr>
        <w:instrText>∼</w:instrText>
      </w:r>
      <w:r w:rsidRPr="00740EE0">
        <w:rPr>
          <w:rFonts w:eastAsia="MS PGothic"/>
          <w:color w:val="000000"/>
          <w:szCs w:val="32"/>
          <w:lang w:val="en-GB"/>
        </w:rPr>
        <w:instrText>103–104) and dynamic range (</w:instrText>
      </w:r>
      <w:r w:rsidRPr="00740EE0">
        <w:rPr>
          <w:rFonts w:ascii="Cambria Math" w:eastAsia="MS PGothic" w:hAnsi="Cambria Math" w:cs="Cambria Math"/>
          <w:color w:val="000000"/>
          <w:szCs w:val="32"/>
          <w:lang w:val="en-GB"/>
        </w:rPr>
        <w:instrText>∼</w:instrText>
      </w:r>
      <w:r w:rsidRPr="00740EE0">
        <w:rPr>
          <w:rFonts w:eastAsia="MS PGothic"/>
          <w:color w:val="000000"/>
          <w:szCs w:val="32"/>
          <w:lang w:val="en-GB"/>
        </w:rPr>
        <w:instrText>103–104), but quantitation is a challenge and sample complexity may limit metabolite detection because of ion suppression. Consequently, liquid chromatography (LC) or gas chromatography (GC) is commonly employed in conjunction with MS, but this may lead to other sources of error. As a result, NMR and mass spectrometry are highly complementary, and combining the two techniques is likely to improve the overall quality of a study and enhance the coverage of the metabolome. While the majority of metabolomic studies use a single analytical source, there is a growing appreciation of the inherent value of combining NMR and MS for metabolomics. An overview of the current state of utilizing both NMR and MS for metabolomics will be presented.","author":[{"dropping-particle":"","family":"Marshall","given":"Darrell D.","non-dropping-particle":"","parse-names":false,"suffix":""},{"dropping-particle":"","family":"Powers","given":"Robert","non-dropping-particle":"","parse-names":false,"suffix":""}],"container-title":"Progress in Nuclear Magnetic Resonance Spectroscopy","id":"ITEM-1","issue":"1","issued":{"date-parts":[["2017","5"]]},"page":"1-16","publisher":"Elsevier B.V.","title":"Beyond the paradigm: Combining mass spectrometry and nuclear magnetic resonance for metabolomics","type":"article-journal","volume":"100"},"uris":["http://www.mendeley.com/documents/?uuid=060d947a-68da-4df2-b4a8-11d963239cc1"]}],"mendeley":{"formattedCitation":"&lt;sup&gt;[1]&lt;/sup&gt;","plainTextFormattedCitation":"[1]","previouslyFormattedCitation":"[1]"},"properties":{"noteIndex":0},"schema":"https://github.com/citation-style-language/schema/raw/master/csl-citation.json"}</w:instrText>
      </w:r>
      <w:r w:rsidRPr="00740EE0">
        <w:rPr>
          <w:rFonts w:eastAsia="MS PGothic"/>
          <w:color w:val="000000"/>
          <w:szCs w:val="32"/>
          <w:lang w:val="en-US"/>
        </w:rPr>
        <w:fldChar w:fldCharType="separate"/>
      </w:r>
      <w:r w:rsidRPr="00740EE0">
        <w:rPr>
          <w:rFonts w:eastAsia="MS PGothic"/>
          <w:color w:val="000000"/>
          <w:szCs w:val="32"/>
          <w:lang w:val="en-GB"/>
        </w:rPr>
        <w:t>[1]</w:t>
      </w:r>
      <w:r w:rsidRPr="00740EE0">
        <w:rPr>
          <w:rFonts w:eastAsia="MS PGothic"/>
          <w:color w:val="000000"/>
          <w:szCs w:val="32"/>
          <w:lang w:val="en-GB"/>
        </w:rPr>
        <w:fldChar w:fldCharType="end"/>
      </w:r>
      <w:r w:rsidRPr="00740EE0">
        <w:rPr>
          <w:rFonts w:eastAsia="MS PGothic"/>
          <w:color w:val="000000"/>
          <w:szCs w:val="32"/>
          <w:lang w:val="en-GB"/>
        </w:rPr>
        <w:t xml:space="preserve">. So far, few studies have linked these two techniques, and often they were dedicated to developing statistical methods for weighing the two datasets </w:t>
      </w:r>
      <w:r w:rsidRPr="00740EE0">
        <w:rPr>
          <w:rFonts w:eastAsia="MS PGothic"/>
          <w:color w:val="000000"/>
          <w:szCs w:val="32"/>
          <w:lang w:val="en-US"/>
        </w:rPr>
        <w:fldChar w:fldCharType="begin" w:fldLock="1"/>
      </w:r>
      <w:r w:rsidRPr="00740EE0">
        <w:rPr>
          <w:rFonts w:eastAsia="MS PGothic"/>
          <w:color w:val="000000"/>
          <w:szCs w:val="32"/>
          <w:lang w:val="en-GB"/>
        </w:rPr>
        <w:instrText>ADDIN CSL_CITATION {"citationItems":[{"id":"ITEM-1","itemData":{"DOI":"10.1021/acs.jproteome.8b00567","ISBN":"2163684814","ISSN":"1535-3893","author":[{"dropping-particle":"","family":"Bhinderwala","given":"Fatema","non-dropping-particle":"","parse-names":false,"suffix":""},{"dropping-particle":"","family":"Wase","given":"Nishikant","non-dropping-particle":"","parse-names":false,"suffix":""},{"dropping-particle":"","family":"DiRusso","given":"Concetta","non-dropping-particle":"","parse-names":false,"suffix":""},{"dropping-particle":"","family":"Powers","given":"Robert","non-dropping-particle":"","parse-names":false,"suffix":""}],"container-title":"Journal of Proteome Research","id":"ITEM-1","issue":"11","issued":{"date-parts":[["2018","11","2"]]},"page":"4017-4022","title":"Combining Mass Spectrometry and NMR Improves Metabolite Detection and Annotation","type":"article-journal","volume":"17"},"uris":["http://www.mendeley.com/documents/?uuid=199794c2-c389-488f-b944-bccca33d9c1c","http://www.mendeley.com/documents/?uuid=5b9226b6-ff9c-47af-9341-0a2dfe52a814"]}],"mendeley":{"formattedCitation":"&lt;sup&gt;[2]&lt;/sup&gt;","plainTextFormattedCitation":"[2]","previouslyFormattedCitation":"[2]"},"properties":{"noteIndex":0},"schema":"https://github.com/citation-style-language/schema/raw/master/csl-citation.json"}</w:instrText>
      </w:r>
      <w:r w:rsidRPr="00740EE0">
        <w:rPr>
          <w:rFonts w:eastAsia="MS PGothic"/>
          <w:color w:val="000000"/>
          <w:szCs w:val="32"/>
          <w:lang w:val="en-US"/>
        </w:rPr>
        <w:fldChar w:fldCharType="separate"/>
      </w:r>
      <w:r w:rsidRPr="00740EE0">
        <w:rPr>
          <w:rFonts w:eastAsia="MS PGothic"/>
          <w:color w:val="000000"/>
          <w:szCs w:val="32"/>
          <w:lang w:val="en-GB"/>
        </w:rPr>
        <w:t>[2]</w:t>
      </w:r>
      <w:r w:rsidRPr="00740EE0">
        <w:rPr>
          <w:rFonts w:eastAsia="MS PGothic"/>
          <w:color w:val="000000"/>
          <w:szCs w:val="32"/>
          <w:lang w:val="en-GB"/>
        </w:rPr>
        <w:fldChar w:fldCharType="end"/>
      </w:r>
      <w:r w:rsidRPr="00740EE0">
        <w:rPr>
          <w:rFonts w:eastAsia="MS PGothic"/>
          <w:color w:val="000000"/>
          <w:szCs w:val="32"/>
          <w:lang w:val="en-GB"/>
        </w:rPr>
        <w:t xml:space="preserve"> and for the discovery of new components of biofluids </w:t>
      </w:r>
      <w:r w:rsidRPr="00740EE0">
        <w:rPr>
          <w:rFonts w:eastAsia="MS PGothic"/>
          <w:color w:val="000000"/>
          <w:szCs w:val="32"/>
          <w:lang w:val="en-US"/>
        </w:rPr>
        <w:fldChar w:fldCharType="begin" w:fldLock="1"/>
      </w:r>
      <w:r w:rsidRPr="00740EE0">
        <w:rPr>
          <w:rFonts w:eastAsia="MS PGothic"/>
          <w:color w:val="000000"/>
          <w:szCs w:val="32"/>
          <w:lang w:val="en-GB"/>
        </w:rPr>
        <w:instrText>ADDIN CSL_CITATION {"citationItems":[{"id":"ITEM-1","itemData":{"DOI":"10.1007/s11306-014-0704-4","ISBN":"1573-3882 (Print)","ISSN":"15733890","PMID":"25774104","abstract":"Metabolomics datasets are commonly acquired by either mass spectrometry (MS) or nuclear magnetic resonance spectroscopy (NMR), despite their fundamental complementarity. In fact, combining MS and NMR datasets greatly improves the coverage of the metabolome and enhances the accuracy of metabolite identification, providing a detailed and high-throughput analysis of metabolic changes due to disease, drug treatment, or a variety of other environmental stimuli. Ideally, a single metabolomics sample would be simultaneously used for both MS and NMR analyses, minimizing the potential for variability between the two datasets. This necessitates the optimization of sample preparation, data collection and data handling protocols to effectively integrate direct-infusion MS data with one-dimensional (1D) (1)H NMR spectra. To achieve this goal, we report for the first time the optimization of (i) metabolomics sample preparation for dual analysis by NMR and MS, (ii) high throughput, positive-ion direct infusion electrospray ionization mass spectrometry (DI-ESI-MS) for the analysis of complex metabolite mixtures, and (iii) data handling protocols to simultaneously analyze DI-ESI-MS and 1D (1)H NMR spectral data using multiblock bilinear factorizations, namely multiblock principal component analysis (MB-PCA) and multiblock partial least squares (MB-PLS). Finally, we demonstrate the combined use of backscaled loadings, accurate mass measurements and tandem MS experiments to identify metabolites significantly contributing to class separation in MB-PLS-DA scores. We show that integration of NMR and DI-ESI-MS datasets yields a substantial improvement in the analysis of neurotoxin involvement in dopaminergic cell death.","author":[{"dropping-particle":"","family":"Marshall","given":"Darrell D.","non-dropping-particle":"","parse-names":false,"suffix":""},{"dropping-particle":"","family":"Lei","given":"Shulei","non-dropping-particle":"","parse-names":false,"suffix":""},{"dropping-particle":"","family":"Worley","given":"Bradley","non-dropping-particle":"","parse-names":false,"suffix":""},{"dropping-particle":"","family":"Huang","given":"Yuting","non-dropping-particle":"","parse-names":false,"suffix":""},{"dropping-particle":"","family":"Garcia-Garcia","given":"Aracely","non-dropping-particle":"","parse-names":false,"suffix":""},{"dropping-particle":"","family":"Franco","given":"Rodrigo","non-dropping-particle":"","parse-names":false,"suffix":""},{"dropping-particle":"","family":"Dodds","given":"Eric D.","non-dropping-particle":"","parse-names":false,"suffix":""},{"dropping-particle":"","family":"Powers","given":"Robert","non-dropping-particle":"","parse-names":false,"suffix":""}],"container-title":"Metabolomics","id":"ITEM-1","issue":"2","issued":{"date-parts":[["2015"]]},"page":"391-402","title":"Combining DI-ESI–MS and NMR datasets for metabolic profiling","type":"article-journal","volume":"11"},"uris":["http://www.mendeley.com/documents/?uuid=84a1b21c-ef45-41cb-992b-69a111679e97"]}],"mendeley":{"formattedCitation":"&lt;sup&gt;[3]&lt;/sup&gt;","plainTextFormattedCitation":"[3]","previouslyFormattedCitation":"[3]"},"properties":{"noteIndex":0},"schema":"https://github.com/citation-style-language/schema/raw/master/csl-citation.json"}</w:instrText>
      </w:r>
      <w:r w:rsidRPr="00740EE0">
        <w:rPr>
          <w:rFonts w:eastAsia="MS PGothic"/>
          <w:color w:val="000000"/>
          <w:szCs w:val="32"/>
          <w:lang w:val="en-US"/>
        </w:rPr>
        <w:fldChar w:fldCharType="separate"/>
      </w:r>
      <w:r w:rsidRPr="00740EE0">
        <w:rPr>
          <w:rFonts w:eastAsia="MS PGothic"/>
          <w:color w:val="000000"/>
          <w:szCs w:val="32"/>
          <w:lang w:val="en-GB"/>
        </w:rPr>
        <w:t>[3]</w:t>
      </w:r>
      <w:r w:rsidRPr="00740EE0">
        <w:rPr>
          <w:rFonts w:eastAsia="MS PGothic"/>
          <w:color w:val="000000"/>
          <w:szCs w:val="32"/>
          <w:lang w:val="en-GB"/>
        </w:rPr>
        <w:fldChar w:fldCharType="end"/>
      </w:r>
      <w:r w:rsidRPr="00740EE0">
        <w:rPr>
          <w:rFonts w:eastAsia="MS PGothic"/>
          <w:color w:val="000000"/>
          <w:szCs w:val="32"/>
          <w:lang w:val="en-GB"/>
        </w:rPr>
        <w:t>. Given the high complementarity of the two techniques, it would be beneficial to combine the data obtained separately with NMR and MS to improve the ability to classify the "</w:t>
      </w:r>
      <w:proofErr w:type="spellStart"/>
      <w:r w:rsidRPr="00740EE0">
        <w:rPr>
          <w:rFonts w:eastAsia="MS PGothic"/>
          <w:color w:val="000000"/>
          <w:szCs w:val="32"/>
          <w:lang w:val="en-GB"/>
        </w:rPr>
        <w:t>metabotypes</w:t>
      </w:r>
      <w:proofErr w:type="spellEnd"/>
      <w:r w:rsidRPr="00740EE0">
        <w:rPr>
          <w:rFonts w:eastAsia="MS PGothic"/>
          <w:color w:val="000000"/>
          <w:szCs w:val="32"/>
          <w:lang w:val="en-GB"/>
        </w:rPr>
        <w:t xml:space="preserve">" under investigation </w:t>
      </w:r>
      <w:r w:rsidRPr="00740EE0">
        <w:rPr>
          <w:rFonts w:eastAsia="MS PGothic"/>
          <w:color w:val="000000"/>
          <w:szCs w:val="32"/>
          <w:lang w:val="en-US"/>
        </w:rPr>
        <w:fldChar w:fldCharType="begin" w:fldLock="1"/>
      </w:r>
      <w:r w:rsidRPr="00740EE0">
        <w:rPr>
          <w:rFonts w:eastAsia="MS PGothic"/>
          <w:color w:val="000000"/>
          <w:szCs w:val="32"/>
          <w:lang w:val="en-GB"/>
        </w:rPr>
        <w:instrText>ADDIN CSL_CITATION {"citationItems":[{"id":"ITEM-1","itemData":{"DOI":"10.1016/j.pnmrs.2017.01.001","ISBN":"2163684814","ISSN":"00796565","PMID":"28552170","abstract":"Metabolomics is undergoing tremendous growth and is being employed to solve a diversity of biological problems from environmental issues to the identification of biomarkers for human diseases. Nuclear magnetic resonance (NMR) and mass spectrometry (MS) are the analytical tools that are routinely, but separately, used to obtain metabolomics data sets due to their versatility, accessibility, and unique strengths. NMR requires minimal sample handling without the need for chromatography, is easily quantitative, and provides multiple means of metabolite identification, but is limited to detecting the most abundant metabolites (</w:instrText>
      </w:r>
      <w:r w:rsidRPr="00740EE0">
        <w:rPr>
          <w:rFonts w:ascii="Cambria Math" w:eastAsia="MS PGothic" w:hAnsi="Cambria Math" w:cs="Cambria Math"/>
          <w:color w:val="000000"/>
          <w:szCs w:val="32"/>
          <w:lang w:val="en-GB"/>
        </w:rPr>
        <w:instrText>⩾</w:instrText>
      </w:r>
      <w:r w:rsidRPr="00740EE0">
        <w:rPr>
          <w:rFonts w:eastAsia="MS PGothic"/>
          <w:color w:val="000000"/>
          <w:szCs w:val="32"/>
          <w:lang w:val="en-GB"/>
        </w:rPr>
        <w:instrText>1 μM). Conversely, mass spectrometry has the ability to measure metabolites at very low concentrations (femtomolar to attomolar) and has a higher resolution (</w:instrText>
      </w:r>
      <w:r w:rsidRPr="00740EE0">
        <w:rPr>
          <w:rFonts w:ascii="Cambria Math" w:eastAsia="MS PGothic" w:hAnsi="Cambria Math" w:cs="Cambria Math"/>
          <w:color w:val="000000"/>
          <w:szCs w:val="32"/>
          <w:lang w:val="en-GB"/>
        </w:rPr>
        <w:instrText>∼</w:instrText>
      </w:r>
      <w:r w:rsidRPr="00740EE0">
        <w:rPr>
          <w:rFonts w:eastAsia="MS PGothic"/>
          <w:color w:val="000000"/>
          <w:szCs w:val="32"/>
          <w:lang w:val="en-GB"/>
        </w:rPr>
        <w:instrText>103–104) and dynamic range (</w:instrText>
      </w:r>
      <w:r w:rsidRPr="00740EE0">
        <w:rPr>
          <w:rFonts w:ascii="Cambria Math" w:eastAsia="MS PGothic" w:hAnsi="Cambria Math" w:cs="Cambria Math"/>
          <w:color w:val="000000"/>
          <w:szCs w:val="32"/>
          <w:lang w:val="en-GB"/>
        </w:rPr>
        <w:instrText>∼</w:instrText>
      </w:r>
      <w:r w:rsidRPr="00740EE0">
        <w:rPr>
          <w:rFonts w:eastAsia="MS PGothic"/>
          <w:color w:val="000000"/>
          <w:szCs w:val="32"/>
          <w:lang w:val="en-GB"/>
        </w:rPr>
        <w:instrText>103–104), but quantitation is a challenge and sample complexity may limit metabolite detection because of ion suppression. Consequently, liquid chromatography (LC) or gas chromatography (GC) is commonly employed in conjunction with MS, but this may lead to other sources of error. As a result, NMR and mass spectrometry are highly complementary, and combining the two techniques is likely to improve the overall quality of a study and enhance the coverage of the metabolome. While the majority of metabolomic studies use a single analytical source, there is a growing appreciation of the inherent value of combining NMR and MS for metabolomics. An overview of the current state of utilizing both NMR and MS for metabolomics will be presented.","author":[{"dropping-particle":"","family":"Marshall","given":"Darrell D.","non-dropping-particle":"","parse-names":false,"suffix":""},{"dropping-particle":"","family":"Powers","given":"Robert","non-dropping-particle":"","parse-names":false,"suffix":""}],"container-title":"Progress in Nuclear Magnetic Resonance Spectroscopy","id":"ITEM-1","issue":"1","issued":{"date-parts":[["2017","5"]]},"page":"1-16","publisher":"Elsevier B.V.","title":"Beyond the paradigm: Combining mass spectrometry and nuclear magnetic resonance for metabolomics","type":"article-journal","volume":"100"},"uris":["http://www.mendeley.com/documents/?uuid=060d947a-68da-4df2-b4a8-11d963239cc1"]}],"mendeley":{"formattedCitation":"&lt;sup&gt;[1]&lt;/sup&gt;","plainTextFormattedCitation":"[1]","previouslyFormattedCitation":"[1]"},"properties":{"noteIndex":0},"schema":"https://github.com/citation-style-language/schema/raw/master/csl-citation.json"}</w:instrText>
      </w:r>
      <w:r w:rsidRPr="00740EE0">
        <w:rPr>
          <w:rFonts w:eastAsia="MS PGothic"/>
          <w:color w:val="000000"/>
          <w:szCs w:val="32"/>
          <w:lang w:val="en-US"/>
        </w:rPr>
        <w:fldChar w:fldCharType="separate"/>
      </w:r>
      <w:r w:rsidRPr="00740EE0">
        <w:rPr>
          <w:rFonts w:eastAsia="MS PGothic"/>
          <w:color w:val="000000"/>
          <w:szCs w:val="32"/>
          <w:lang w:val="en-GB"/>
        </w:rPr>
        <w:t>[1]</w:t>
      </w:r>
      <w:r w:rsidRPr="00740EE0">
        <w:rPr>
          <w:rFonts w:eastAsia="MS PGothic"/>
          <w:color w:val="000000"/>
          <w:szCs w:val="32"/>
          <w:lang w:val="en-GB"/>
        </w:rPr>
        <w:fldChar w:fldCharType="end"/>
      </w:r>
      <w:r w:rsidRPr="00740EE0">
        <w:rPr>
          <w:rFonts w:eastAsia="MS PGothic"/>
          <w:color w:val="000000"/>
          <w:szCs w:val="32"/>
          <w:lang w:val="en-GB"/>
        </w:rPr>
        <w:t>. Urine is the best test bench to measure the potential value of the MS-NMR combination, as it represents one of the most challenging biofluids to characterize due to complexity and variability.</w:t>
      </w:r>
    </w:p>
    <w:p w14:paraId="4364DCE0" w14:textId="227918CA" w:rsidR="00AC3BCD" w:rsidRDefault="00740EE0" w:rsidP="00740EE0">
      <w:pPr>
        <w:jc w:val="both"/>
        <w:rPr>
          <w:rFonts w:eastAsia="MS PGothic"/>
          <w:color w:val="000000"/>
          <w:szCs w:val="32"/>
          <w:lang w:val="en-GB"/>
        </w:rPr>
      </w:pPr>
      <w:r w:rsidRPr="00740EE0">
        <w:rPr>
          <w:rFonts w:eastAsia="MS PGothic"/>
          <w:color w:val="000000"/>
          <w:szCs w:val="32"/>
          <w:lang w:val="en-GB"/>
        </w:rPr>
        <w:t xml:space="preserve">The best combination of MS and NMR data developed so far was called Statistical </w:t>
      </w:r>
      <w:proofErr w:type="spellStart"/>
      <w:r w:rsidRPr="00740EE0">
        <w:rPr>
          <w:rFonts w:eastAsia="MS PGothic"/>
          <w:color w:val="000000"/>
          <w:szCs w:val="32"/>
          <w:lang w:val="en-GB"/>
        </w:rPr>
        <w:t>Heterospectroscopy</w:t>
      </w:r>
      <w:proofErr w:type="spellEnd"/>
      <w:r w:rsidRPr="00740EE0">
        <w:rPr>
          <w:rFonts w:eastAsia="MS PGothic"/>
          <w:color w:val="000000"/>
          <w:szCs w:val="32"/>
          <w:lang w:val="en-GB"/>
        </w:rPr>
        <w:t xml:space="preserve"> (SHY) </w:t>
      </w:r>
      <w:r w:rsidRPr="00740EE0">
        <w:rPr>
          <w:rFonts w:eastAsia="MS PGothic"/>
          <w:color w:val="000000"/>
          <w:szCs w:val="32"/>
          <w:lang w:val="en-US"/>
        </w:rPr>
        <w:fldChar w:fldCharType="begin" w:fldLock="1"/>
      </w:r>
      <w:r w:rsidRPr="00740EE0">
        <w:rPr>
          <w:rFonts w:eastAsia="MS PGothic"/>
          <w:color w:val="000000"/>
          <w:szCs w:val="32"/>
          <w:lang w:val="en-GB"/>
        </w:rPr>
        <w:instrText>ADDIN CSL_CITATION {"citationItems":[{"id":"ITEM-1","itemData":{"DOI":"10.1021/ac051444m","abstract":"Statistical heterospectroscopy (SHY) is a new statistical paradigm for the coanalysis of multispectroscopic data sets acquired on multiple samples. This method operates through the analysis of the intrinsic covariance between signal intensities in the same and related molecules measured by different techniques across cohorts of samples. The potential of SHY is illustrated using both 600-MHz 1 H NMR and UPLC-TOFMS data obtained from control rat urine samples (n) 54) and from a corresponding hydrazine-treated group (n) 58). We show that direct cross-correlation of spectral parameters, viz. chemical shifts from NMR and m/z data from MS, is readily achievable for a variety of metabolites, which leads to improved efficiency of molecular biomarker identification. In addition to structure, higher level biological information can be obtained on metabolic pathway activity and con-nectivities by examination of different levels of the NMR to MS correlation and anticorrelation matrixes. The SHY approach is of general applicability to complex mixture analysis, if two or more independent spectroscopic data sets are available for any sample cohort. Biological applications of SHY as demonstrated here show promise as a new systems biology tool for biomarker recovery. A variety of metabolic profiling tools are routinely used and also currently under development for metabonomic 1-3 and me-tabolomic 4,5 studies. Spectroscopic methods such as nuclear magnetic resonance (NMR) spectroscopy and mass spectrometry (MS) coupled to gas chromatography and liquid chromatography (LC) have proved to be of high value because of their capabilities in detecting and where appropriate quantifying a wide range of chemical substances in complex mixtures such as urine and plasma. 6,7 The high information densities generated by these techniques and their inherent multivariate profiling capabilities usually necessitate the use of combinations of chemometric and mathematical modeling methods to classify biochemical perturbations that reflect specific physiological or pathological states and to recover latent biomarker information. Applications of this technology include the construction of expert systems for the prediction of drug toxicity 8-10 and the characterization of a range of pathologies such as cardiovascular disease, 11 inborn errors of (1) Nicholson, J. K.; Lindon, J. C.; Holmes, E. Xenobiotica 1999, 29, 1181-1189. (2) Lindon, J. C.; Holmes, E.; Bollard, M. E.; Stanley, E. G.; Nicholso…","author":[{"dropping-particle":"","family":"Nicholson","given":"J K","non-dropping-particle":"","parse-names":false,"suffix":""},{"dropping-particle":"","family":"Connelly","given":"J","non-dropping-particle":"","parse-names":false,"suffix":""},{"dropping-particle":"","family":"Lindon","given":"J C","non-dropping-particle":"","parse-names":false,"suffix":""},{"dropping-particle":"","family":"Holmes","given":"E","non-dropping-particle":"","parse-names":false,"suffix":""},{"dropping-particle":"","family":"Kell","given":"D B","non-dropping-particle":"","parse-names":false,"suffix":""},{"dropping-particle":"","family":"Fiehn","given":"O","non-dropping-particle":"","parse-names":false,"suffix":""},{"dropping-particle":"","family":"Weckwerth","given":"W","non-dropping-particle":"","parse-names":false,"suffix":""},{"dropping-particle":"","family":"Plumb","given":"R S","non-dropping-particle":"","parse-names":false,"suffix":""}],"container-title":"Nat. Rev. Drug Discovery","id":"ITEM-1","issue":"3","issued":{"date-parts":[["2004"]]},"page":"363-371","title":"Statistical Heterospectroscopy, an Approach to the Integrated Analysis of NMR and UPLC-MS Data Sets: Application in Metabonomic Toxicology Studies","type":"article-journal","volume":"9"},"uris":["http://www.mendeley.com/documents/?uuid=09cdc294-96c1-37a4-b3eb-03198eb7f1aa","http://www.mendeley.com/documents/?uuid=633791c7-c3bc-43a5-945a-d4c8e2822b24"]}],"mendeley":{"formattedCitation":"&lt;sup&gt;[4]&lt;/sup&gt;","plainTextFormattedCitation":"[4]","previouslyFormattedCitation":"[4]"},"properties":{"noteIndex":0},"schema":"https://github.com/citation-style-language/schema/raw/master/csl-citation.json"}</w:instrText>
      </w:r>
      <w:r w:rsidRPr="00740EE0">
        <w:rPr>
          <w:rFonts w:eastAsia="MS PGothic"/>
          <w:color w:val="000000"/>
          <w:szCs w:val="32"/>
          <w:lang w:val="en-US"/>
        </w:rPr>
        <w:fldChar w:fldCharType="separate"/>
      </w:r>
      <w:r w:rsidRPr="00740EE0">
        <w:rPr>
          <w:rFonts w:eastAsia="MS PGothic"/>
          <w:color w:val="000000"/>
          <w:szCs w:val="32"/>
          <w:lang w:val="en-GB"/>
        </w:rPr>
        <w:t>[4]</w:t>
      </w:r>
      <w:r w:rsidRPr="00740EE0">
        <w:rPr>
          <w:rFonts w:eastAsia="MS PGothic"/>
          <w:color w:val="000000"/>
          <w:szCs w:val="32"/>
          <w:lang w:val="en-GB"/>
        </w:rPr>
        <w:fldChar w:fldCharType="end"/>
      </w:r>
      <w:r w:rsidRPr="00740EE0">
        <w:rPr>
          <w:rFonts w:eastAsia="MS PGothic"/>
          <w:color w:val="000000"/>
          <w:szCs w:val="32"/>
          <w:lang w:val="en-GB"/>
        </w:rPr>
        <w:t xml:space="preserve">. The authors showed that it is possible to correlate chemical shift and m/z data when a cohort of samples is considered. Our idea is to use the SHY concept to develop a novel MS-assisted deconvolution of NMR spectra. Instead of using the correlation with spectral regions as in the original work, we employ the metabolite concentrations determined iteratively by NMR and UHPLC-HRMS, obtaining a significant increase in the number of identified compounds. The synergistic use of both analytical methodologies allowed us to quantify 165 metabolites in the urine of nine controls, six patients affected by chronic cystitis, and thirty-one bladder cancer patients. We call this approach: </w:t>
      </w:r>
      <w:proofErr w:type="spellStart"/>
      <w:r w:rsidRPr="00740EE0">
        <w:rPr>
          <w:rFonts w:eastAsia="MS PGothic"/>
          <w:i/>
          <w:iCs/>
          <w:color w:val="000000"/>
          <w:szCs w:val="32"/>
          <w:u w:val="single"/>
          <w:lang w:val="en-GB"/>
        </w:rPr>
        <w:t>SY</w:t>
      </w:r>
      <w:r w:rsidRPr="00740EE0">
        <w:rPr>
          <w:rFonts w:eastAsia="MS PGothic"/>
          <w:color w:val="000000"/>
          <w:szCs w:val="32"/>
          <w:lang w:val="en-GB"/>
        </w:rPr>
        <w:t>nergic</w:t>
      </w:r>
      <w:proofErr w:type="spellEnd"/>
      <w:r w:rsidRPr="00740EE0">
        <w:rPr>
          <w:rFonts w:eastAsia="MS PGothic"/>
          <w:color w:val="000000"/>
          <w:szCs w:val="32"/>
          <w:lang w:val="en-GB"/>
        </w:rPr>
        <w:t xml:space="preserve"> use of </w:t>
      </w:r>
      <w:r w:rsidRPr="00740EE0">
        <w:rPr>
          <w:rFonts w:eastAsia="MS PGothic"/>
          <w:color w:val="000000"/>
          <w:szCs w:val="32"/>
          <w:u w:val="single"/>
          <w:lang w:val="en-GB"/>
        </w:rPr>
        <w:t>N</w:t>
      </w:r>
      <w:r w:rsidRPr="00740EE0">
        <w:rPr>
          <w:rFonts w:eastAsia="MS PGothic"/>
          <w:color w:val="000000"/>
          <w:szCs w:val="32"/>
          <w:lang w:val="en-GB"/>
        </w:rPr>
        <w:t xml:space="preserve">MR and </w:t>
      </w:r>
      <w:r w:rsidRPr="00740EE0">
        <w:rPr>
          <w:rFonts w:eastAsia="MS PGothic"/>
          <w:color w:val="000000"/>
          <w:szCs w:val="32"/>
          <w:u w:val="single"/>
          <w:lang w:val="en-GB"/>
        </w:rPr>
        <w:t>H</w:t>
      </w:r>
      <w:r w:rsidRPr="00740EE0">
        <w:rPr>
          <w:rFonts w:eastAsia="MS PGothic"/>
          <w:color w:val="000000"/>
          <w:szCs w:val="32"/>
          <w:lang w:val="en-GB"/>
        </w:rPr>
        <w:t xml:space="preserve">RMS for </w:t>
      </w:r>
      <w:proofErr w:type="spellStart"/>
      <w:r w:rsidRPr="00740EE0">
        <w:rPr>
          <w:rFonts w:eastAsia="MS PGothic"/>
          <w:i/>
          <w:iCs/>
          <w:color w:val="000000"/>
          <w:szCs w:val="32"/>
          <w:u w:val="single"/>
          <w:lang w:val="en-GB"/>
        </w:rPr>
        <w:t>MET</w:t>
      </w:r>
      <w:r w:rsidRPr="00740EE0">
        <w:rPr>
          <w:rFonts w:eastAsia="MS PGothic"/>
          <w:color w:val="000000"/>
          <w:szCs w:val="32"/>
          <w:lang w:val="en-GB"/>
        </w:rPr>
        <w:t>abolomics</w:t>
      </w:r>
      <w:proofErr w:type="spellEnd"/>
      <w:r w:rsidRPr="00740EE0">
        <w:rPr>
          <w:rFonts w:eastAsia="MS PGothic"/>
          <w:color w:val="000000"/>
          <w:szCs w:val="32"/>
          <w:lang w:val="en-GB"/>
        </w:rPr>
        <w:t xml:space="preserve"> (SYNHMET). These results can be used in classical metabolomics studies of group classification. Still, the fact that we obtain absolute concentrations opens the possibility of creating a personalized metabolic profile for each subject in the study. Its translation into clinical practice can be of great value, in line with scientific advances that follow personalized medicine.</w:t>
      </w:r>
    </w:p>
    <w:p w14:paraId="1AB8B1AF" w14:textId="77777777" w:rsidR="00740EE0" w:rsidRPr="00740EE0" w:rsidRDefault="00740EE0" w:rsidP="00740EE0">
      <w:pPr>
        <w:jc w:val="both"/>
        <w:rPr>
          <w:color w:val="000000"/>
          <w:lang w:val="en-GB"/>
        </w:rPr>
      </w:pPr>
    </w:p>
    <w:p w14:paraId="0F7A6035" w14:textId="77777777" w:rsidR="00AC3BCD" w:rsidRPr="00740EE0" w:rsidRDefault="00AC3BCD" w:rsidP="00AC3BCD">
      <w:pPr>
        <w:jc w:val="both"/>
        <w:rPr>
          <w:b/>
          <w:lang w:val="en-GB"/>
        </w:rPr>
      </w:pPr>
      <w:r w:rsidRPr="00740EE0">
        <w:rPr>
          <w:b/>
          <w:lang w:val="en-GB"/>
        </w:rPr>
        <w:t>Biography</w:t>
      </w:r>
    </w:p>
    <w:p w14:paraId="64C99B22" w14:textId="77777777" w:rsidR="00AC3BCD" w:rsidRPr="00740EE0" w:rsidRDefault="00AC3BCD" w:rsidP="00AC3BCD">
      <w:pPr>
        <w:jc w:val="both"/>
        <w:rPr>
          <w:b/>
          <w:lang w:val="en-GB"/>
        </w:rPr>
      </w:pPr>
    </w:p>
    <w:p w14:paraId="255144F0" w14:textId="129823C8" w:rsidR="00AC3BCD" w:rsidRPr="00740EE0" w:rsidRDefault="00740EE0" w:rsidP="00AC3BCD">
      <w:pPr>
        <w:jc w:val="both"/>
        <w:rPr>
          <w:lang w:val="en-GB"/>
        </w:rPr>
      </w:pPr>
      <w:r>
        <w:rPr>
          <w:lang w:val="en-GB"/>
        </w:rPr>
        <w:t>Greta Petrella</w:t>
      </w:r>
      <w:r w:rsidR="00AC3BCD" w:rsidRPr="00740EE0">
        <w:rPr>
          <w:lang w:val="en-GB"/>
        </w:rPr>
        <w:t xml:space="preserve"> has completed his Ph</w:t>
      </w:r>
      <w:r>
        <w:rPr>
          <w:lang w:val="en-GB"/>
        </w:rPr>
        <w:t>.</w:t>
      </w:r>
      <w:r w:rsidR="00AC3BCD" w:rsidRPr="00740EE0">
        <w:rPr>
          <w:lang w:val="en-GB"/>
        </w:rPr>
        <w:t>D</w:t>
      </w:r>
      <w:r>
        <w:rPr>
          <w:lang w:val="en-GB"/>
        </w:rPr>
        <w:t>.</w:t>
      </w:r>
      <w:r w:rsidR="00AC3BCD" w:rsidRPr="00740EE0">
        <w:rPr>
          <w:lang w:val="en-GB"/>
        </w:rPr>
        <w:t xml:space="preserve"> </w:t>
      </w:r>
      <w:r>
        <w:rPr>
          <w:lang w:val="en-GB"/>
        </w:rPr>
        <w:t xml:space="preserve">in Chemistry </w:t>
      </w:r>
      <w:r w:rsidR="00AC3BCD" w:rsidRPr="00740EE0">
        <w:rPr>
          <w:lang w:val="en-GB"/>
        </w:rPr>
        <w:t xml:space="preserve">from </w:t>
      </w:r>
      <w:r>
        <w:rPr>
          <w:lang w:val="en-GB"/>
        </w:rPr>
        <w:t xml:space="preserve">the University of Rome “Tor </w:t>
      </w:r>
      <w:proofErr w:type="spellStart"/>
      <w:r>
        <w:rPr>
          <w:lang w:val="en-GB"/>
        </w:rPr>
        <w:t>Vergata</w:t>
      </w:r>
      <w:proofErr w:type="spellEnd"/>
      <w:r>
        <w:rPr>
          <w:lang w:val="en-GB"/>
        </w:rPr>
        <w:t>”</w:t>
      </w:r>
      <w:r w:rsidR="00AC3BCD" w:rsidRPr="00740EE0">
        <w:rPr>
          <w:lang w:val="en-GB"/>
        </w:rPr>
        <w:t xml:space="preserve"> and </w:t>
      </w:r>
      <w:r>
        <w:rPr>
          <w:lang w:val="en-GB"/>
        </w:rPr>
        <w:t xml:space="preserve">is presently a </w:t>
      </w:r>
      <w:r w:rsidR="00AC3BCD" w:rsidRPr="00740EE0">
        <w:rPr>
          <w:lang w:val="en-GB"/>
        </w:rPr>
        <w:t xml:space="preserve">postdoctoral </w:t>
      </w:r>
      <w:r>
        <w:rPr>
          <w:lang w:val="en-GB"/>
        </w:rPr>
        <w:t>research fellow at the same university</w:t>
      </w:r>
      <w:r w:rsidR="00AC3BCD" w:rsidRPr="00740EE0">
        <w:rPr>
          <w:lang w:val="en-GB"/>
        </w:rPr>
        <w:t xml:space="preserve">. </w:t>
      </w:r>
      <w:r>
        <w:rPr>
          <w:lang w:val="en-GB"/>
        </w:rPr>
        <w:t xml:space="preserve">Her Ph.D. thesis received the </w:t>
      </w:r>
      <w:r w:rsidRPr="00740EE0">
        <w:rPr>
          <w:lang w:val="en-GB"/>
        </w:rPr>
        <w:t>“GIDRM Ph.D. Graduate Award – 2021”.</w:t>
      </w:r>
      <w:r>
        <w:rPr>
          <w:lang w:val="en-GB"/>
        </w:rPr>
        <w:t xml:space="preserve"> Sh</w:t>
      </w:r>
      <w:r w:rsidR="00AC3BCD" w:rsidRPr="00740EE0">
        <w:rPr>
          <w:lang w:val="en-GB"/>
        </w:rPr>
        <w:t xml:space="preserve">e has published </w:t>
      </w:r>
      <w:r>
        <w:rPr>
          <w:lang w:val="en-GB"/>
        </w:rPr>
        <w:t>11</w:t>
      </w:r>
      <w:r w:rsidR="00AC3BCD" w:rsidRPr="00740EE0">
        <w:rPr>
          <w:lang w:val="en-GB"/>
        </w:rPr>
        <w:t xml:space="preserve"> papers in reputed journals</w:t>
      </w:r>
      <w:r>
        <w:rPr>
          <w:lang w:val="en-GB"/>
        </w:rPr>
        <w:t xml:space="preserve"> and coordinates the activity of the research team of the NMR Laboratory.</w:t>
      </w:r>
      <w:r w:rsidR="00DA2249" w:rsidRPr="00740EE0">
        <w:rPr>
          <w:lang w:val="en-GB"/>
        </w:rPr>
        <w:tab/>
      </w:r>
      <w:r w:rsidR="00085B88" w:rsidRPr="00740EE0">
        <w:rPr>
          <w:lang w:val="en-GB"/>
        </w:rPr>
        <w:br/>
      </w:r>
    </w:p>
    <w:p w14:paraId="39CE8002" w14:textId="79A0740A"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740EE0">
        <w:rPr>
          <w:lang w:val="en-NZ"/>
        </w:rPr>
        <w:t>Greta Petrella</w:t>
      </w:r>
      <w:r w:rsidR="00740EE0">
        <w:rPr>
          <w:lang w:val="en-NZ"/>
        </w:rPr>
        <w:tab/>
      </w:r>
      <w:r w:rsidRPr="008A690F">
        <w:rPr>
          <w:lang w:val="en-NZ"/>
        </w:rPr>
        <w:br/>
        <w:t>Contact number:</w:t>
      </w:r>
      <w:r w:rsidR="00740EE0">
        <w:rPr>
          <w:lang w:val="en-NZ"/>
        </w:rPr>
        <w:t xml:space="preserve"> +390672594835</w:t>
      </w:r>
      <w:r w:rsidRPr="008A690F">
        <w:rPr>
          <w:lang w:val="en-NZ"/>
        </w:rPr>
        <w:br/>
        <w:t>Twitter account:</w:t>
      </w:r>
      <w:r w:rsidR="00740EE0">
        <w:rPr>
          <w:lang w:val="en-NZ"/>
        </w:rPr>
        <w:t xml:space="preserve"> @Greta_pet</w:t>
      </w:r>
      <w:r w:rsidRPr="008A690F">
        <w:rPr>
          <w:lang w:val="en-NZ"/>
        </w:rPr>
        <w:br/>
        <w:t>Linked In account:</w:t>
      </w:r>
      <w:r w:rsidR="00740EE0">
        <w:rPr>
          <w:lang w:val="en-NZ"/>
        </w:rPr>
        <w:t xml:space="preserve"> Greta Petrella</w:t>
      </w:r>
    </w:p>
    <w:p w14:paraId="79BC5CB0" w14:textId="1E3B8F72" w:rsidR="00AD6315"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740EE0">
        <w:rPr>
          <w:lang w:val="en-NZ"/>
        </w:rPr>
        <w:t xml:space="preserve"> Analytical Techniques in Metabolomics</w:t>
      </w:r>
      <w:r w:rsidRPr="008A690F">
        <w:rPr>
          <w:lang w:val="en-NZ"/>
        </w:rPr>
        <w:br/>
        <w:t>Category: Oral presentation</w:t>
      </w:r>
    </w:p>
    <w:p w14:paraId="4A3CBDC1" w14:textId="77777777" w:rsidR="00AD6315" w:rsidRDefault="00AD6315" w:rsidP="00AC3BCD">
      <w:pPr>
        <w:autoSpaceDE w:val="0"/>
        <w:autoSpaceDN w:val="0"/>
        <w:adjustRightInd w:val="0"/>
        <w:rPr>
          <w:lang w:val="en-NZ"/>
        </w:rPr>
      </w:pPr>
    </w:p>
    <w:p w14:paraId="17486BA9" w14:textId="77777777" w:rsidR="00AD6315" w:rsidRDefault="00AD6315" w:rsidP="00AC3BCD">
      <w:pPr>
        <w:autoSpaceDE w:val="0"/>
        <w:autoSpaceDN w:val="0"/>
        <w:adjustRightInd w:val="0"/>
        <w:rPr>
          <w:lang w:val="en-NZ"/>
        </w:rPr>
      </w:pPr>
    </w:p>
    <w:p w14:paraId="5056DE01" w14:textId="77777777" w:rsidR="00AD6315" w:rsidRDefault="00AD6315" w:rsidP="00AC3BCD">
      <w:pPr>
        <w:autoSpaceDE w:val="0"/>
        <w:autoSpaceDN w:val="0"/>
        <w:adjustRightInd w:val="0"/>
        <w:rPr>
          <w:lang w:val="en-NZ"/>
        </w:rPr>
      </w:pPr>
    </w:p>
    <w:p w14:paraId="2F8F9B44" w14:textId="77777777"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E8671B" w14:textId="77777777" w:rsidR="003D1894" w:rsidRDefault="003D1894" w:rsidP="00671A59">
      <w:r>
        <w:separator/>
      </w:r>
    </w:p>
  </w:endnote>
  <w:endnote w:type="continuationSeparator" w:id="0">
    <w:p w14:paraId="1A85C515" w14:textId="77777777" w:rsidR="003D1894" w:rsidRDefault="003D1894"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0000500000000020000"/>
    <w:charset w:val="00"/>
    <w:family w:val="auto"/>
    <w:pitch w:val="variable"/>
    <w:sig w:usb0="E00002FF" w:usb1="5000205A" w:usb2="00000000" w:usb3="00000000" w:csb0="0000019F" w:csb1="00000000"/>
  </w:font>
  <w:font w:name="Lucidasans">
    <w:altName w:val="Times New Roman"/>
    <w:panose1 w:val="020B0604020202020204"/>
    <w:charset w:val="00"/>
    <w:family w:val="auto"/>
    <w:pitch w:val="variable"/>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FBA71" w14:textId="77777777"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B008A" w14:textId="77777777"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D6C25" w14:textId="77777777"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1B1EF0" w14:textId="77777777" w:rsidR="003D1894" w:rsidRDefault="003D1894" w:rsidP="00671A59">
      <w:r>
        <w:separator/>
      </w:r>
    </w:p>
  </w:footnote>
  <w:footnote w:type="continuationSeparator" w:id="0">
    <w:p w14:paraId="207FED64" w14:textId="77777777" w:rsidR="003D1894" w:rsidRDefault="003D1894"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2BEA9" w14:textId="77777777"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B948B" w14:textId="77777777"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31420" w14:textId="77777777"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IwMzYyNTcwMTCxMLVU0lEKTi0uzszPAykwrAUAYLxQliwAAAA="/>
  </w:docVars>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80ECD"/>
    <w:rsid w:val="00292DC0"/>
    <w:rsid w:val="002B18D5"/>
    <w:rsid w:val="002C0F2B"/>
    <w:rsid w:val="002D317F"/>
    <w:rsid w:val="00311C54"/>
    <w:rsid w:val="003753DD"/>
    <w:rsid w:val="003A4429"/>
    <w:rsid w:val="003D1894"/>
    <w:rsid w:val="004775E3"/>
    <w:rsid w:val="0049217F"/>
    <w:rsid w:val="004A262E"/>
    <w:rsid w:val="004A2CA1"/>
    <w:rsid w:val="004B3B30"/>
    <w:rsid w:val="004E4ECA"/>
    <w:rsid w:val="00505DA1"/>
    <w:rsid w:val="005408D9"/>
    <w:rsid w:val="00555DAD"/>
    <w:rsid w:val="005B168A"/>
    <w:rsid w:val="005C2EA1"/>
    <w:rsid w:val="005C3848"/>
    <w:rsid w:val="005D43ED"/>
    <w:rsid w:val="00605142"/>
    <w:rsid w:val="00612C13"/>
    <w:rsid w:val="006224D4"/>
    <w:rsid w:val="006511AA"/>
    <w:rsid w:val="00671A59"/>
    <w:rsid w:val="00691F82"/>
    <w:rsid w:val="006B463C"/>
    <w:rsid w:val="006C51B8"/>
    <w:rsid w:val="006F0C5C"/>
    <w:rsid w:val="007258AA"/>
    <w:rsid w:val="00740EE0"/>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E069A"/>
    <w:rsid w:val="00FF16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53550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paragraph" w:styleId="Heading4">
    <w:name w:val="heading 4"/>
    <w:basedOn w:val="Normal"/>
    <w:next w:val="Normal"/>
    <w:link w:val="Heading4Char"/>
    <w:uiPriority w:val="9"/>
    <w:semiHidden/>
    <w:unhideWhenUsed/>
    <w:qFormat/>
    <w:rsid w:val="00740EE0"/>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4Char">
    <w:name w:val="Heading 4 Char"/>
    <w:basedOn w:val="DefaultParagraphFont"/>
    <w:link w:val="Heading4"/>
    <w:uiPriority w:val="9"/>
    <w:semiHidden/>
    <w:rsid w:val="00740EE0"/>
    <w:rPr>
      <w:rFonts w:asciiTheme="minorHAnsi" w:eastAsiaTheme="minorEastAsia" w:hAnsiTheme="minorHAnsi" w:cstheme="minorBidi"/>
      <w:b/>
      <w:bCs/>
      <w:sz w:val="28"/>
      <w:szCs w:val="28"/>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283993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12583-67D4-46C3-BAD6-BAF8FA4DD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2566</Words>
  <Characters>14627</Characters>
  <Application>Microsoft Office Word</Application>
  <DocSecurity>0</DocSecurity>
  <Lines>121</Lines>
  <Paragraphs>34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17159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2021-11-22T14:45:00Z</dcterms:created>
  <dcterms:modified xsi:type="dcterms:W3CDTF">2021-11-23T10:08:00Z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http://www.zotero.org/styles/antioxidants</vt:lpwstr>
  </property>
  <property fmtid="{D5CDD505-2E9C-101B-9397-08002B2CF9AE}" pid="11" name="Mendeley Recent Style Name 4_1">
    <vt:lpwstr>Antioxidants</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Citation Style_1">
    <vt:lpwstr>http://www.zotero.org/styles/harvard-cite-them-right</vt:lpwstr>
  </property>
</Properties>
</file>