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1105" w:rsidRPr="00A77662" w:rsidRDefault="00E17FCD" w:rsidP="00DE1105">
      <w:pPr>
        <w:jc w:val="center"/>
        <w:rPr>
          <w:rFonts w:ascii="Century Gothic" w:hAnsi="Century Gothic" w:cs="Times New Roman"/>
          <w:b/>
          <w:color w:val="333333"/>
          <w:sz w:val="32"/>
          <w:szCs w:val="44"/>
          <w:shd w:val="clear" w:color="auto" w:fill="FFFFFF"/>
        </w:rPr>
      </w:pPr>
      <w:r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 xml:space="preserve">Circulatory </w:t>
      </w:r>
      <w:r w:rsidR="00DE1105"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 xml:space="preserve">Histidine </w:t>
      </w:r>
      <w:r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>levels f</w:t>
      </w:r>
      <w:r w:rsidR="00DE1105" w:rsidRPr="00A77662"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 xml:space="preserve">or </w:t>
      </w:r>
      <w:r w:rsidR="002F68DC"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>the assessment of</w:t>
      </w:r>
      <w:r w:rsidR="00DE1105" w:rsidRPr="00A77662"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 xml:space="preserve"> disease activity in</w:t>
      </w:r>
      <w:r w:rsidR="00DE1105"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 xml:space="preserve"> </w:t>
      </w:r>
      <w:r w:rsidR="00DE1105" w:rsidRPr="00A77662"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>Takayasu arteritis: A</w:t>
      </w:r>
      <w:r w:rsidR="00DE1105"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 xml:space="preserve"> targeted</w:t>
      </w:r>
      <w:r w:rsidR="00DE1105" w:rsidRPr="00A77662"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 xml:space="preserve"> NMR based </w:t>
      </w:r>
      <w:r w:rsidR="00DE1105"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 xml:space="preserve">serum metabolomics </w:t>
      </w:r>
      <w:r w:rsidR="00DE1105" w:rsidRPr="00A77662">
        <w:rPr>
          <w:rFonts w:ascii="Century Gothic" w:hAnsi="Century Gothic" w:cs="Helvetica"/>
          <w:b/>
          <w:color w:val="333333"/>
          <w:sz w:val="32"/>
          <w:szCs w:val="44"/>
          <w:shd w:val="clear" w:color="auto" w:fill="FFFFFF"/>
        </w:rPr>
        <w:t>study</w:t>
      </w:r>
    </w:p>
    <w:p w:rsidR="00DE1105" w:rsidRPr="00053F05" w:rsidRDefault="00DE1105" w:rsidP="00DE1105">
      <w:pPr>
        <w:pStyle w:val="BJ-Affiliation"/>
        <w:spacing w:after="0" w:line="240" w:lineRule="auto"/>
        <w:jc w:val="center"/>
        <w:rPr>
          <w:rFonts w:ascii="Tw Cen MT" w:hAnsi="Tw Cen MT"/>
          <w:sz w:val="24"/>
        </w:rPr>
      </w:pPr>
      <w:r>
        <w:rPr>
          <w:rFonts w:ascii="Tw Cen MT" w:hAnsi="Tw Cen MT"/>
          <w:sz w:val="24"/>
        </w:rPr>
        <w:t>Umesh Kumar</w:t>
      </w:r>
      <w:r w:rsidRPr="00C350F5">
        <w:rPr>
          <w:rFonts w:ascii="Tw Cen MT" w:hAnsi="Tw Cen MT"/>
          <w:sz w:val="24"/>
          <w:vertAlign w:val="superscript"/>
        </w:rPr>
        <w:t>1</w:t>
      </w:r>
      <w:r>
        <w:rPr>
          <w:rFonts w:ascii="Tw Cen MT" w:hAnsi="Tw Cen MT"/>
          <w:sz w:val="24"/>
        </w:rPr>
        <w:t xml:space="preserve">, </w:t>
      </w:r>
      <w:proofErr w:type="spellStart"/>
      <w:r w:rsidRPr="00EF4782">
        <w:rPr>
          <w:rFonts w:ascii="Tw Cen MT" w:hAnsi="Tw Cen MT"/>
          <w:sz w:val="24"/>
        </w:rPr>
        <w:t>Avinash</w:t>
      </w:r>
      <w:proofErr w:type="spellEnd"/>
      <w:r w:rsidRPr="00EF4782">
        <w:rPr>
          <w:rFonts w:ascii="Tw Cen MT" w:hAnsi="Tw Cen MT"/>
          <w:sz w:val="24"/>
        </w:rPr>
        <w:t xml:space="preserve"> Jain</w:t>
      </w:r>
      <w:r w:rsidRPr="00EF4782">
        <w:rPr>
          <w:rFonts w:ascii="Tw Cen MT" w:hAnsi="Tw Cen MT"/>
          <w:sz w:val="24"/>
          <w:vertAlign w:val="superscript"/>
        </w:rPr>
        <w:t>2</w:t>
      </w:r>
      <w:r w:rsidRPr="00053F05">
        <w:rPr>
          <w:rFonts w:ascii="Tw Cen MT" w:hAnsi="Tw Cen MT"/>
          <w:b/>
          <w:sz w:val="24"/>
        </w:rPr>
        <w:t xml:space="preserve">, </w:t>
      </w:r>
      <w:proofErr w:type="spellStart"/>
      <w:r w:rsidR="002F68DC">
        <w:rPr>
          <w:rFonts w:ascii="Tw Cen MT" w:hAnsi="Tw Cen MT"/>
          <w:sz w:val="24"/>
        </w:rPr>
        <w:t>Pankti</w:t>
      </w:r>
      <w:proofErr w:type="spellEnd"/>
      <w:r w:rsidR="002F68DC">
        <w:rPr>
          <w:rFonts w:ascii="Tw Cen MT" w:hAnsi="Tw Cen MT"/>
          <w:sz w:val="24"/>
        </w:rPr>
        <w:t xml:space="preserve"> Mehta</w:t>
      </w:r>
      <w:r w:rsidR="002F68DC" w:rsidRPr="002F68DC">
        <w:rPr>
          <w:rFonts w:ascii="Tw Cen MT" w:hAnsi="Tw Cen MT"/>
          <w:sz w:val="24"/>
          <w:vertAlign w:val="superscript"/>
        </w:rPr>
        <w:t>2</w:t>
      </w:r>
      <w:r w:rsidR="002F68DC">
        <w:rPr>
          <w:rFonts w:ascii="Tw Cen MT" w:hAnsi="Tw Cen MT"/>
          <w:sz w:val="24"/>
        </w:rPr>
        <w:t xml:space="preserve">, </w:t>
      </w:r>
      <w:r w:rsidRPr="00053F05">
        <w:rPr>
          <w:rFonts w:ascii="Tw Cen MT" w:hAnsi="Tw Cen MT"/>
          <w:sz w:val="24"/>
        </w:rPr>
        <w:t>Anupam Guleria</w:t>
      </w:r>
      <w:r w:rsidRPr="00053F05">
        <w:rPr>
          <w:rFonts w:ascii="Tw Cen MT" w:hAnsi="Tw Cen MT"/>
          <w:sz w:val="24"/>
          <w:vertAlign w:val="superscript"/>
        </w:rPr>
        <w:t>1</w:t>
      </w:r>
      <w:r w:rsidRPr="00053F05">
        <w:rPr>
          <w:rFonts w:ascii="Tw Cen MT" w:hAnsi="Tw Cen MT"/>
          <w:sz w:val="24"/>
        </w:rPr>
        <w:t xml:space="preserve">, </w:t>
      </w:r>
      <w:proofErr w:type="spellStart"/>
      <w:r w:rsidRPr="00406D9B">
        <w:rPr>
          <w:rFonts w:ascii="Tw Cen MT" w:hAnsi="Tw Cen MT"/>
          <w:sz w:val="24"/>
        </w:rPr>
        <w:t>Durga</w:t>
      </w:r>
      <w:proofErr w:type="spellEnd"/>
      <w:r w:rsidRPr="00406D9B">
        <w:rPr>
          <w:rFonts w:ascii="Tw Cen MT" w:hAnsi="Tw Cen MT"/>
          <w:sz w:val="24"/>
        </w:rPr>
        <w:t xml:space="preserve"> P Misra</w:t>
      </w:r>
      <w:r w:rsidRPr="00406D9B">
        <w:rPr>
          <w:rFonts w:ascii="Tw Cen MT" w:hAnsi="Tw Cen MT"/>
          <w:sz w:val="24"/>
          <w:vertAlign w:val="superscript"/>
        </w:rPr>
        <w:t>2</w:t>
      </w:r>
      <w:r>
        <w:rPr>
          <w:rFonts w:ascii="Tw Cen MT" w:hAnsi="Tw Cen MT"/>
          <w:sz w:val="24"/>
        </w:rPr>
        <w:t xml:space="preserve">, </w:t>
      </w:r>
      <w:r w:rsidRPr="00EF4782">
        <w:rPr>
          <w:rFonts w:ascii="Tw Cen MT" w:hAnsi="Tw Cen MT"/>
          <w:sz w:val="24"/>
        </w:rPr>
        <w:t>Ramnath Misra</w:t>
      </w:r>
      <w:r w:rsidR="00C97385">
        <w:rPr>
          <w:rFonts w:ascii="Tw Cen MT" w:hAnsi="Tw Cen MT"/>
          <w:sz w:val="24"/>
          <w:vertAlign w:val="superscript"/>
        </w:rPr>
        <w:t>2</w:t>
      </w:r>
      <w:r w:rsidRPr="00EF4782">
        <w:rPr>
          <w:rFonts w:ascii="Tw Cen MT" w:hAnsi="Tw Cen MT"/>
          <w:b/>
          <w:sz w:val="24"/>
        </w:rPr>
        <w:t xml:space="preserve"> </w:t>
      </w:r>
      <w:r w:rsidRPr="00EF4782">
        <w:rPr>
          <w:rFonts w:ascii="Tw Cen MT" w:hAnsi="Tw Cen MT"/>
          <w:sz w:val="24"/>
        </w:rPr>
        <w:t>and</w:t>
      </w:r>
      <w:r>
        <w:rPr>
          <w:rFonts w:ascii="Tw Cen MT" w:hAnsi="Tw Cen MT"/>
          <w:b/>
          <w:sz w:val="24"/>
        </w:rPr>
        <w:t xml:space="preserve"> </w:t>
      </w:r>
      <w:r w:rsidRPr="00791FAB">
        <w:rPr>
          <w:rFonts w:ascii="Tw Cen MT" w:hAnsi="Tw Cen MT"/>
          <w:sz w:val="24"/>
        </w:rPr>
        <w:t>Dinesh Kumar</w:t>
      </w:r>
      <w:r w:rsidRPr="00791FAB">
        <w:rPr>
          <w:rFonts w:ascii="Tw Cen MT" w:hAnsi="Tw Cen MT"/>
          <w:sz w:val="24"/>
          <w:vertAlign w:val="superscript"/>
        </w:rPr>
        <w:t>1*</w:t>
      </w:r>
      <w:bookmarkStart w:id="0" w:name="_GoBack"/>
      <w:bookmarkEnd w:id="0"/>
    </w:p>
    <w:p w:rsidR="00DE1105" w:rsidRDefault="00DE1105" w:rsidP="00DE1105">
      <w:pPr>
        <w:pStyle w:val="BJ-Affiliation"/>
        <w:spacing w:after="0" w:line="240" w:lineRule="auto"/>
        <w:jc w:val="center"/>
        <w:rPr>
          <w:rFonts w:ascii="Tw Cen MT" w:hAnsi="Tw Cen MT" w:cs="Times New Roman"/>
          <w:i/>
          <w:sz w:val="22"/>
          <w:szCs w:val="22"/>
        </w:rPr>
      </w:pPr>
      <w:bookmarkStart w:id="1" w:name="OLE_LINK81"/>
      <w:bookmarkStart w:id="2" w:name="OLE_LINK82"/>
      <w:r w:rsidRPr="00B87C42">
        <w:rPr>
          <w:rFonts w:ascii="Tw Cen MT" w:hAnsi="Tw Cen MT" w:cs="Times New Roman"/>
          <w:i/>
          <w:sz w:val="22"/>
          <w:szCs w:val="22"/>
          <w:vertAlign w:val="superscript"/>
        </w:rPr>
        <w:t>1</w:t>
      </w:r>
      <w:r w:rsidRPr="00B87C42">
        <w:rPr>
          <w:rFonts w:ascii="Tw Cen MT" w:hAnsi="Tw Cen MT" w:cs="Times New Roman"/>
          <w:i/>
          <w:sz w:val="22"/>
          <w:szCs w:val="22"/>
        </w:rPr>
        <w:t>Centre of Biomedical Research</w:t>
      </w:r>
      <w:r>
        <w:rPr>
          <w:rFonts w:ascii="Tw Cen MT" w:hAnsi="Tw Cen MT" w:cs="Times New Roman"/>
          <w:i/>
          <w:sz w:val="22"/>
          <w:szCs w:val="22"/>
        </w:rPr>
        <w:t xml:space="preserve"> and </w:t>
      </w:r>
      <w:r w:rsidRPr="00B87C42">
        <w:rPr>
          <w:rFonts w:ascii="Tw Cen MT" w:hAnsi="Tw Cen MT" w:cs="Times New Roman"/>
          <w:i/>
          <w:sz w:val="22"/>
          <w:szCs w:val="22"/>
          <w:vertAlign w:val="superscript"/>
        </w:rPr>
        <w:t>2</w:t>
      </w:r>
      <w:r w:rsidRPr="00B87C42">
        <w:rPr>
          <w:rFonts w:ascii="Tw Cen MT" w:hAnsi="Tw Cen MT" w:cs="Times New Roman"/>
          <w:i/>
          <w:sz w:val="22"/>
          <w:szCs w:val="22"/>
        </w:rPr>
        <w:t>Department of Clinical Immunology, SGPGIMS, Raibareli Road, Lucknow-226014, India</w:t>
      </w:r>
    </w:p>
    <w:bookmarkEnd w:id="1"/>
    <w:bookmarkEnd w:id="2"/>
    <w:p w:rsidR="00DE1105" w:rsidRDefault="00DE1105" w:rsidP="00DE1105">
      <w:pPr>
        <w:jc w:val="both"/>
        <w:rPr>
          <w:rFonts w:ascii="TimesNewRoman" w:hAnsi="TimesNewRoman"/>
          <w:color w:val="000000"/>
          <w:sz w:val="24"/>
          <w:szCs w:val="24"/>
        </w:rPr>
      </w:pPr>
    </w:p>
    <w:p w:rsidR="001775AE" w:rsidRPr="002F68DC" w:rsidRDefault="00DE1105" w:rsidP="002F68DC">
      <w:pPr>
        <w:jc w:val="both"/>
        <w:rPr>
          <w:rFonts w:ascii="Century Gothic" w:hAnsi="Century Gothic"/>
        </w:rPr>
      </w:pPr>
      <w:r w:rsidRPr="002F68DC">
        <w:rPr>
          <w:rFonts w:ascii="Century Gothic" w:hAnsi="Century Gothic" w:cs="Helvetica"/>
          <w:b/>
        </w:rPr>
        <w:t>Background:</w:t>
      </w:r>
      <w:r w:rsidRPr="002F68DC">
        <w:rPr>
          <w:rFonts w:ascii="Century Gothic" w:hAnsi="Century Gothic" w:cs="Helvetica"/>
        </w:rPr>
        <w:t xml:space="preserve"> Quantitative assessment of disease activity is important for effective disease management in Takayasu arteritis (TA) which is an immune-mediated inflammatory disease. The dominance of oxidative stress is the hallmark of active inflammation.  Both clinical and preclinical data suggest that histidine has </w:t>
      </w:r>
      <w:r w:rsidR="008A4098" w:rsidRPr="002F68DC">
        <w:rPr>
          <w:rFonts w:ascii="Century Gothic" w:hAnsi="Century Gothic" w:cs="Helvetica"/>
        </w:rPr>
        <w:t xml:space="preserve">its strong anti-oxidative and anti-inflammatory </w:t>
      </w:r>
      <w:r w:rsidRPr="002F68DC">
        <w:rPr>
          <w:rFonts w:ascii="Century Gothic" w:hAnsi="Century Gothic" w:cs="Helvetica"/>
        </w:rPr>
        <w:t>effects</w:t>
      </w:r>
      <w:r w:rsidR="00353CC4" w:rsidRPr="002F68DC">
        <w:rPr>
          <w:rFonts w:ascii="Century Gothic" w:hAnsi="Century Gothic" w:cs="Helvetica"/>
        </w:rPr>
        <w:t xml:space="preserve"> </w:t>
      </w:r>
      <w:r w:rsidR="00353CC4" w:rsidRPr="002F68DC">
        <w:rPr>
          <w:rFonts w:ascii="Century Gothic" w:hAnsi="Century Gothic" w:cs="Helvetica"/>
          <w:color w:val="0000FF"/>
        </w:rPr>
        <w:fldChar w:fldCharType="begin"/>
      </w:r>
      <w:r w:rsidR="004226C5" w:rsidRPr="002F68DC">
        <w:rPr>
          <w:rFonts w:ascii="Century Gothic" w:hAnsi="Century Gothic" w:cs="Helvetica"/>
          <w:color w:val="0000FF"/>
        </w:rPr>
        <w:instrText xml:space="preserve"> ADDIN REFMGR.CITE &lt;Refman&gt;&lt;Cite&gt;&lt;Author&gt;Liu&lt;/Author&gt;&lt;Year&gt;2008&lt;/Year&gt;&lt;RecNum&gt;777&lt;/RecNum&gt;&lt;IDText&gt;Beneficial effects of histidine and carnosine on ethanol-induced chronic liver injury&lt;/IDText&gt;&lt;MDL Ref_Type="Journal"&gt;&lt;Ref_Type&gt;Journal&lt;/Ref_Type&gt;&lt;Ref_ID&gt;777&lt;/Ref_ID&gt;&lt;Title_Primary&gt;Beneficial effects of histidine and carnosine on ethanol-induced chronic liver injury&lt;/Title_Primary&gt;&lt;Authors_Primary&gt;Liu,Wen hu&lt;/Authors_Primary&gt;&lt;Authors_Primary&gt;Liu,Te chung&lt;/Authors_Primary&gt;&lt;Authors_Primary&gt;Yin,Mei chin&lt;/Authors_Primary&gt;&lt;Date_Primary&gt;2008&lt;/Date_Primary&gt;&lt;Keywords&gt;Histidine&lt;/Keywords&gt;&lt;Keywords&gt;Liver&lt;/Keywords&gt;&lt;Reprint&gt;Not in File&lt;/Reprint&gt;&lt;Start_Page&gt;1503&lt;/Start_Page&gt;&lt;End_Page&gt;1509&lt;/End_Page&gt;&lt;Periodical&gt;Food and chemical toxicology&lt;/Periodical&gt;&lt;Volume&gt;46&lt;/Volume&gt;&lt;Issue&gt;5&lt;/Issue&gt;&lt;Publisher&gt;Elsevier&lt;/Publisher&gt;&lt;ISSN_ISBN&gt;0278-6915&lt;/ISSN_ISBN&gt;&lt;ZZ_JournalStdAbbrev&gt;&lt;f name="System"&gt;Food and chemical toxicology&lt;/f&gt;&lt;/ZZ_JournalStdAbbrev&gt;&lt;ZZ_WorkformID&gt;1&lt;/ZZ_WorkformID&gt;&lt;/MDL&gt;&lt;/Cite&gt;&lt;Cite&gt;&lt;Author&gt;Wade&lt;/Author&gt;&lt;Year&gt;1998&lt;/Year&gt;&lt;RecNum&gt;779&lt;/RecNum&gt;&lt;IDText&gt;Antioxidant characteristics of L-histidine&lt;/IDText&gt;&lt;MDL Ref_Type="Journal"&gt;&lt;Ref_Type&gt;Journal&lt;/Ref_Type&gt;&lt;Ref_ID&gt;779&lt;/Ref_ID&gt;&lt;Title_Primary&gt;Antioxidant characteristics of L-histidine&lt;/Title_Primary&gt;&lt;Authors_Primary&gt;Wade,A.Michael&lt;/Authors_Primary&gt;&lt;Authors_Primary&gt;Tucker,Hugh N.&lt;/Authors_Primary&gt;&lt;Date_Primary&gt;1998&lt;/Date_Primary&gt;&lt;Reprint&gt;Not in File&lt;/Reprint&gt;&lt;Start_Page&gt;308&lt;/Start_Page&gt;&lt;End_Page&gt;315&lt;/End_Page&gt;&lt;Periodical&gt;The Journal of Nutritional Biochemistry&lt;/Periodical&gt;&lt;Volume&gt;9&lt;/Volume&gt;&lt;Issue&gt;6&lt;/Issue&gt;&lt;Publisher&gt;Elsevier&lt;/Publisher&gt;&lt;ISSN_ISBN&gt;0955-2863&lt;/ISSN_ISBN&gt;&lt;ZZ_JournalStdAbbrev&gt;&lt;f name="System"&gt;The Journal of Nutritional Biochemistry&lt;/f&gt;&lt;/ZZ_JournalStdAbbrev&gt;&lt;ZZ_WorkformID&gt;1&lt;/ZZ_WorkformID&gt;&lt;/MDL&gt;&lt;/Cite&gt;&lt;/Refman&gt;</w:instrText>
      </w:r>
      <w:r w:rsidR="00353CC4" w:rsidRPr="002F68DC">
        <w:rPr>
          <w:rFonts w:ascii="Century Gothic" w:hAnsi="Century Gothic" w:cs="Helvetica"/>
          <w:color w:val="0000FF"/>
        </w:rPr>
        <w:fldChar w:fldCharType="separate"/>
      </w:r>
      <w:r w:rsidR="00353CC4" w:rsidRPr="002F68DC">
        <w:rPr>
          <w:rFonts w:ascii="Century Gothic" w:hAnsi="Century Gothic" w:cs="Helvetica"/>
          <w:color w:val="0000FF"/>
        </w:rPr>
        <w:t>[1,2]</w:t>
      </w:r>
      <w:r w:rsidR="00353CC4" w:rsidRPr="002F68DC">
        <w:rPr>
          <w:rFonts w:ascii="Century Gothic" w:hAnsi="Century Gothic" w:cs="Helvetica"/>
          <w:color w:val="0000FF"/>
        </w:rPr>
        <w:fldChar w:fldCharType="end"/>
      </w:r>
      <w:r w:rsidR="008A4098" w:rsidRPr="002F68DC">
        <w:rPr>
          <w:rFonts w:ascii="Century Gothic" w:hAnsi="Century Gothic" w:cs="Helvetica"/>
        </w:rPr>
        <w:t>.</w:t>
      </w:r>
      <w:r w:rsidRPr="002F68DC">
        <w:rPr>
          <w:rFonts w:ascii="Century Gothic" w:hAnsi="Century Gothic" w:cs="Helvetica"/>
        </w:rPr>
        <w:t xml:space="preserve"> </w:t>
      </w:r>
      <w:r w:rsidR="008A4098" w:rsidRPr="002F68DC">
        <w:rPr>
          <w:rFonts w:ascii="Century Gothic" w:hAnsi="Century Gothic" w:cs="Helvetica"/>
        </w:rPr>
        <w:t>Based on this, we hypothesized that the circulatory Histidine can serve as an indicant of active inflammation and so for monitoring disease activity in TA.</w:t>
      </w:r>
      <w:r w:rsidR="002F68DC" w:rsidRPr="002F68DC">
        <w:rPr>
          <w:rFonts w:ascii="Century Gothic" w:hAnsi="Century Gothic" w:cs="Helvetica"/>
        </w:rPr>
        <w:t xml:space="preserve"> </w:t>
      </w:r>
      <w:r w:rsidRPr="002F68DC">
        <w:rPr>
          <w:rFonts w:ascii="Century Gothic" w:hAnsi="Century Gothic" w:cs="Helvetica"/>
          <w:b/>
        </w:rPr>
        <w:t>Objective:</w:t>
      </w:r>
      <w:r w:rsidRPr="002F68DC">
        <w:rPr>
          <w:rFonts w:ascii="Century Gothic" w:hAnsi="Century Gothic" w:cs="Helvetica"/>
        </w:rPr>
        <w:t xml:space="preserve"> The aim of present study was to </w:t>
      </w:r>
      <w:r w:rsidR="008A4098" w:rsidRPr="002F68DC">
        <w:rPr>
          <w:rFonts w:ascii="Century Gothic" w:hAnsi="Century Gothic" w:cs="Helvetica"/>
        </w:rPr>
        <w:t xml:space="preserve">perform reliable estimation of </w:t>
      </w:r>
      <w:r w:rsidRPr="002F68DC">
        <w:rPr>
          <w:rFonts w:ascii="Century Gothic" w:hAnsi="Century Gothic" w:cs="Helvetica"/>
        </w:rPr>
        <w:t xml:space="preserve">circulatory </w:t>
      </w:r>
      <w:r w:rsidR="008A4098" w:rsidRPr="002F68DC">
        <w:rPr>
          <w:rFonts w:ascii="Century Gothic" w:hAnsi="Century Gothic" w:cs="Helvetica"/>
        </w:rPr>
        <w:t>levels of histidine</w:t>
      </w:r>
      <w:r w:rsidRPr="002F68DC">
        <w:rPr>
          <w:rFonts w:ascii="Century Gothic" w:hAnsi="Century Gothic" w:cs="Helvetica"/>
        </w:rPr>
        <w:t xml:space="preserve"> </w:t>
      </w:r>
      <w:r w:rsidR="008A4098" w:rsidRPr="002F68DC">
        <w:rPr>
          <w:rFonts w:ascii="Century Gothic" w:hAnsi="Century Gothic" w:cs="Helvetica"/>
        </w:rPr>
        <w:t xml:space="preserve">and </w:t>
      </w:r>
      <w:r w:rsidRPr="002F68DC">
        <w:rPr>
          <w:rFonts w:ascii="Century Gothic" w:hAnsi="Century Gothic" w:cs="Helvetica"/>
        </w:rPr>
        <w:t>further to evaluate its potential in diagnostic screening of active and inactive TA patients.</w:t>
      </w:r>
      <w:r w:rsidR="002F68DC" w:rsidRPr="002F68DC">
        <w:rPr>
          <w:rFonts w:ascii="Century Gothic" w:hAnsi="Century Gothic" w:cs="Helvetica"/>
        </w:rPr>
        <w:t xml:space="preserve"> </w:t>
      </w:r>
      <w:r w:rsidRPr="002F68DC">
        <w:rPr>
          <w:rFonts w:ascii="Century Gothic" w:hAnsi="Century Gothic" w:cs="Helvetica"/>
          <w:b/>
        </w:rPr>
        <w:t>Methods</w:t>
      </w:r>
      <w:r w:rsidRPr="002F68DC">
        <w:rPr>
          <w:rFonts w:ascii="Century Gothic" w:hAnsi="Century Gothic" w:cs="Helvetica"/>
        </w:rPr>
        <w:t xml:space="preserve">: The serum samples were collected from </w:t>
      </w:r>
      <w:r w:rsidR="00904414" w:rsidRPr="002F68DC">
        <w:rPr>
          <w:rFonts w:ascii="Century Gothic" w:hAnsi="Century Gothic" w:cs="Helvetica"/>
        </w:rPr>
        <w:t>98</w:t>
      </w:r>
      <w:r w:rsidRPr="002F68DC">
        <w:rPr>
          <w:rFonts w:ascii="Century Gothic" w:hAnsi="Century Gothic" w:cs="Helvetica"/>
        </w:rPr>
        <w:t xml:space="preserve"> </w:t>
      </w:r>
      <w:r w:rsidR="009B5D91" w:rsidRPr="002F68DC">
        <w:rPr>
          <w:rFonts w:ascii="Century Gothic" w:hAnsi="Century Gothic" w:cs="Helvetica"/>
        </w:rPr>
        <w:t xml:space="preserve">TA </w:t>
      </w:r>
      <w:r w:rsidRPr="002F68DC">
        <w:rPr>
          <w:rFonts w:ascii="Century Gothic" w:hAnsi="Century Gothic" w:cs="Helvetica"/>
        </w:rPr>
        <w:t>patients fulfilling American College of Rheumatology (ACR) criteria and</w:t>
      </w:r>
      <w:r w:rsidR="009B5D91" w:rsidRPr="002F68DC">
        <w:rPr>
          <w:rFonts w:ascii="Century Gothic" w:hAnsi="Century Gothic" w:cs="Helvetica"/>
        </w:rPr>
        <w:t xml:space="preserve"> 77 normal controls</w:t>
      </w:r>
      <w:r w:rsidR="004226C5" w:rsidRPr="002F68DC">
        <w:rPr>
          <w:rFonts w:ascii="Century Gothic" w:hAnsi="Century Gothic" w:cs="Helvetica"/>
        </w:rPr>
        <w:t xml:space="preserve"> (NC)</w:t>
      </w:r>
      <w:r w:rsidRPr="002F68DC">
        <w:rPr>
          <w:rFonts w:ascii="Century Gothic" w:hAnsi="Century Gothic" w:cs="Helvetica"/>
        </w:rPr>
        <w:t xml:space="preserve">. The </w:t>
      </w:r>
      <w:r w:rsidRPr="002F68DC">
        <w:rPr>
          <w:rFonts w:ascii="Century Gothic" w:eastAsia="Times New Roman" w:hAnsi="Century Gothic"/>
        </w:rPr>
        <w:t xml:space="preserve">1D </w:t>
      </w:r>
      <w:r w:rsidRPr="002F68DC">
        <w:rPr>
          <w:rFonts w:ascii="Century Gothic" w:eastAsia="Times New Roman" w:hAnsi="Century Gothic"/>
          <w:vertAlign w:val="superscript"/>
        </w:rPr>
        <w:t>1</w:t>
      </w:r>
      <w:r w:rsidRPr="002F68DC">
        <w:rPr>
          <w:rFonts w:ascii="Century Gothic" w:eastAsia="Times New Roman" w:hAnsi="Century Gothic"/>
        </w:rPr>
        <w:t xml:space="preserve">H CPMG NMR spectra recorded on </w:t>
      </w:r>
      <w:r w:rsidR="003814F1" w:rsidRPr="002F68DC">
        <w:rPr>
          <w:rFonts w:ascii="Century Gothic" w:eastAsia="Times New Roman" w:hAnsi="Century Gothic"/>
        </w:rPr>
        <w:t xml:space="preserve">each serum sample at </w:t>
      </w:r>
      <w:r w:rsidRPr="002F68DC">
        <w:rPr>
          <w:rFonts w:ascii="Century Gothic" w:eastAsia="Times New Roman" w:hAnsi="Century Gothic"/>
        </w:rPr>
        <w:t>800 MHz NMR spectrometer</w:t>
      </w:r>
      <w:r w:rsidR="003814F1" w:rsidRPr="002F68DC">
        <w:rPr>
          <w:rFonts w:ascii="Century Gothic" w:eastAsia="Times New Roman" w:hAnsi="Century Gothic"/>
        </w:rPr>
        <w:t xml:space="preserve">. The resulted spectra were </w:t>
      </w:r>
      <w:r w:rsidR="004C74C8" w:rsidRPr="002F68DC">
        <w:rPr>
          <w:rFonts w:ascii="Century Gothic" w:eastAsia="Times New Roman" w:hAnsi="Century Gothic"/>
        </w:rPr>
        <w:t>processed</w:t>
      </w:r>
      <w:r w:rsidR="003814F1" w:rsidRPr="002F68DC">
        <w:rPr>
          <w:rFonts w:ascii="Century Gothic" w:eastAsia="Times New Roman" w:hAnsi="Century Gothic"/>
        </w:rPr>
        <w:t xml:space="preserve"> </w:t>
      </w:r>
      <w:r w:rsidR="004C74C8" w:rsidRPr="002F68DC">
        <w:rPr>
          <w:rFonts w:ascii="Century Gothic" w:eastAsia="Times New Roman" w:hAnsi="Century Gothic"/>
        </w:rPr>
        <w:t xml:space="preserve">and concentrations of Histidine were estimated (w.r.t formate as an internal reference) </w:t>
      </w:r>
      <w:r w:rsidR="003814F1" w:rsidRPr="002F68DC">
        <w:rPr>
          <w:rFonts w:ascii="Century Gothic" w:eastAsia="Times New Roman" w:hAnsi="Century Gothic"/>
        </w:rPr>
        <w:t xml:space="preserve">using </w:t>
      </w:r>
      <w:r w:rsidR="004226C5" w:rsidRPr="002F68DC">
        <w:rPr>
          <w:rFonts w:ascii="Century Gothic" w:eastAsia="Times New Roman" w:hAnsi="Century Gothic"/>
        </w:rPr>
        <w:t xml:space="preserve">NMR Suite of software program </w:t>
      </w:r>
      <w:r w:rsidR="003814F1" w:rsidRPr="002F68DC">
        <w:rPr>
          <w:rFonts w:ascii="Century Gothic" w:eastAsia="Times New Roman" w:hAnsi="Century Gothic"/>
        </w:rPr>
        <w:t xml:space="preserve">CHENOMX. </w:t>
      </w:r>
      <w:r w:rsidR="004226C5" w:rsidRPr="002F68DC">
        <w:rPr>
          <w:rFonts w:ascii="Century Gothic" w:hAnsi="Century Gothic" w:cs="Helvetica"/>
        </w:rPr>
        <w:t>T</w:t>
      </w:r>
      <w:r w:rsidR="004C74C8" w:rsidRPr="002F68DC">
        <w:rPr>
          <w:rFonts w:ascii="Century Gothic" w:hAnsi="Century Gothic" w:cs="Helvetica"/>
        </w:rPr>
        <w:t xml:space="preserve">he </w:t>
      </w:r>
      <w:r w:rsidR="004226C5" w:rsidRPr="002F68DC">
        <w:rPr>
          <w:rFonts w:ascii="Century Gothic" w:eastAsia="Times New Roman" w:hAnsi="Century Gothic"/>
        </w:rPr>
        <w:t xml:space="preserve">statistical significance </w:t>
      </w:r>
      <w:r w:rsidR="003814F1" w:rsidRPr="002F68DC">
        <w:rPr>
          <w:rFonts w:ascii="Century Gothic" w:hAnsi="Century Gothic" w:cs="Helvetica"/>
        </w:rPr>
        <w:t xml:space="preserve">was considered </w:t>
      </w:r>
      <w:r w:rsidR="003814F1" w:rsidRPr="002F68DC">
        <w:rPr>
          <w:rFonts w:ascii="Century Gothic" w:eastAsia="Times New Roman" w:hAnsi="Century Gothic"/>
        </w:rPr>
        <w:t xml:space="preserve">at p-value </w:t>
      </w:r>
      <w:r w:rsidR="003814F1" w:rsidRPr="002F68DC">
        <w:rPr>
          <w:rFonts w:ascii="Century Gothic" w:eastAsia="Times New Roman" w:hAnsi="Century Gothic"/>
        </w:rPr>
        <w:sym w:font="Symbol" w:char="F0A3"/>
      </w:r>
      <w:r w:rsidR="003814F1" w:rsidRPr="002F68DC">
        <w:rPr>
          <w:rFonts w:ascii="Century Gothic" w:eastAsia="Times New Roman" w:hAnsi="Century Gothic"/>
        </w:rPr>
        <w:t>0.05.</w:t>
      </w:r>
      <w:r w:rsidR="004C74C8" w:rsidRPr="002F68DC">
        <w:rPr>
          <w:rFonts w:ascii="Century Gothic" w:eastAsia="Times New Roman" w:hAnsi="Century Gothic"/>
        </w:rPr>
        <w:t xml:space="preserve"> </w:t>
      </w:r>
      <w:r w:rsidR="002F68DC" w:rsidRPr="002F68DC">
        <w:rPr>
          <w:rFonts w:ascii="Century Gothic" w:eastAsia="Times New Roman" w:hAnsi="Century Gothic"/>
        </w:rPr>
        <w:t xml:space="preserve"> </w:t>
      </w:r>
      <w:r w:rsidRPr="002F68DC">
        <w:rPr>
          <w:rFonts w:ascii="Century Gothic" w:hAnsi="Century Gothic" w:cs="Helvetica"/>
          <w:b/>
        </w:rPr>
        <w:t>Results:</w:t>
      </w:r>
      <w:r w:rsidRPr="002F68DC">
        <w:rPr>
          <w:rFonts w:ascii="Century Gothic" w:hAnsi="Century Gothic" w:cs="Helvetica"/>
        </w:rPr>
        <w:t xml:space="preserve"> </w:t>
      </w:r>
      <w:r w:rsidR="004226C5" w:rsidRPr="002F68DC">
        <w:rPr>
          <w:rFonts w:ascii="Century Gothic" w:hAnsi="Century Gothic"/>
        </w:rPr>
        <w:t xml:space="preserve">According to </w:t>
      </w:r>
      <w:r w:rsidR="004226C5" w:rsidRPr="002F68DC">
        <w:rPr>
          <w:rFonts w:ascii="Century Gothic" w:hAnsi="Century Gothic" w:cs="Helvetica"/>
        </w:rPr>
        <w:t xml:space="preserve">Indian Takayasu Clinical Activity Score (ITAS) combined with acute phase reactant–erythrocyte sedimentation rate [ITAS-A (ESR)], </w:t>
      </w:r>
      <w:r w:rsidR="00904414" w:rsidRPr="002F68DC">
        <w:rPr>
          <w:rFonts w:ascii="Century Gothic" w:hAnsi="Century Gothic" w:cs="Helvetica"/>
        </w:rPr>
        <w:t xml:space="preserve">45 </w:t>
      </w:r>
      <w:r w:rsidR="00904414" w:rsidRPr="002F68DC">
        <w:rPr>
          <w:rFonts w:ascii="Century Gothic" w:hAnsi="Century Gothic"/>
        </w:rPr>
        <w:t>patients (</w:t>
      </w:r>
      <w:r w:rsidR="00904414" w:rsidRPr="002F68DC">
        <w:rPr>
          <w:rFonts w:ascii="Century Gothic" w:hAnsi="Century Gothic" w:cs="Helvetica"/>
        </w:rPr>
        <w:t>46</w:t>
      </w:r>
      <w:r w:rsidR="00904414" w:rsidRPr="002F68DC">
        <w:rPr>
          <w:rFonts w:ascii="Century Gothic" w:hAnsi="Century Gothic"/>
        </w:rPr>
        <w:t>%) were clinically active, wh</w:t>
      </w:r>
      <w:r w:rsidR="004226C5" w:rsidRPr="002F68DC">
        <w:rPr>
          <w:rFonts w:ascii="Century Gothic" w:hAnsi="Century Gothic"/>
        </w:rPr>
        <w:t xml:space="preserve">ereas </w:t>
      </w:r>
      <w:r w:rsidR="00904414" w:rsidRPr="002F68DC">
        <w:rPr>
          <w:rFonts w:ascii="Century Gothic" w:hAnsi="Century Gothic"/>
        </w:rPr>
        <w:t xml:space="preserve">53 patients (54%) patients were </w:t>
      </w:r>
      <w:r w:rsidR="009B5D91" w:rsidRPr="002F68DC">
        <w:rPr>
          <w:rFonts w:ascii="Century Gothic" w:hAnsi="Century Gothic"/>
        </w:rPr>
        <w:t>inactive</w:t>
      </w:r>
      <w:r w:rsidR="004226C5" w:rsidRPr="002F68DC">
        <w:rPr>
          <w:rFonts w:ascii="Century Gothic" w:hAnsi="Century Gothic"/>
        </w:rPr>
        <w:t>.</w:t>
      </w:r>
      <w:r w:rsidR="00904414" w:rsidRPr="002F68DC">
        <w:rPr>
          <w:rFonts w:ascii="Century Gothic" w:hAnsi="Century Gothic"/>
        </w:rPr>
        <w:t xml:space="preserve"> </w:t>
      </w:r>
      <w:r w:rsidR="001775AE" w:rsidRPr="002F68DC">
        <w:rPr>
          <w:rFonts w:ascii="Century Gothic" w:eastAsia="Times New Roman" w:hAnsi="Century Gothic" w:cs="Arial"/>
          <w:color w:val="000000"/>
        </w:rPr>
        <w:t xml:space="preserve">Circulating levels of histidine were significantly decreased in active TA patients compared </w:t>
      </w:r>
      <w:r w:rsidR="004226C5" w:rsidRPr="002F68DC">
        <w:rPr>
          <w:rFonts w:ascii="Century Gothic" w:eastAsia="Times New Roman" w:hAnsi="Century Gothic" w:cs="Arial"/>
          <w:color w:val="000000"/>
        </w:rPr>
        <w:t xml:space="preserve">to both </w:t>
      </w:r>
      <w:r w:rsidR="001775AE" w:rsidRPr="002F68DC">
        <w:rPr>
          <w:rFonts w:ascii="Century Gothic" w:eastAsia="Times New Roman" w:hAnsi="Century Gothic" w:cs="Arial"/>
          <w:color w:val="000000"/>
        </w:rPr>
        <w:t xml:space="preserve">inactive TA patients and </w:t>
      </w:r>
      <w:r w:rsidR="004226C5" w:rsidRPr="002F68DC">
        <w:rPr>
          <w:rFonts w:ascii="Century Gothic" w:eastAsia="Times New Roman" w:hAnsi="Century Gothic" w:cs="Arial"/>
          <w:color w:val="000000"/>
        </w:rPr>
        <w:t>NC, whereas, there was no statistically significant difference between Inactive TA and NC</w:t>
      </w:r>
      <w:r w:rsidRPr="002F68DC">
        <w:rPr>
          <w:rFonts w:ascii="Century Gothic" w:hAnsi="Century Gothic" w:cs="Helvetica"/>
        </w:rPr>
        <w:t xml:space="preserve">. Further, </w:t>
      </w:r>
      <w:r w:rsidR="004226C5" w:rsidRPr="002F68DC">
        <w:rPr>
          <w:rFonts w:ascii="Century Gothic" w:eastAsia="Times New Roman" w:hAnsi="Century Gothic"/>
        </w:rPr>
        <w:t xml:space="preserve">the </w:t>
      </w:r>
      <w:r w:rsidR="004226C5" w:rsidRPr="002F68DC">
        <w:rPr>
          <w:rFonts w:ascii="Century Gothic" w:hAnsi="Century Gothic" w:cs="Helvetica"/>
        </w:rPr>
        <w:t xml:space="preserve">receiver operating characteristic (ROC) curve analysis was performed to assess the diagnostic potential of Histidine </w:t>
      </w:r>
      <w:r w:rsidRPr="002F68DC">
        <w:rPr>
          <w:rFonts w:ascii="Century Gothic" w:hAnsi="Century Gothic" w:cs="Helvetica"/>
        </w:rPr>
        <w:t xml:space="preserve">and yielded satisfactory sensitivity and specificity </w:t>
      </w:r>
      <w:r w:rsidR="006912DE" w:rsidRPr="002F68DC">
        <w:rPr>
          <w:rFonts w:ascii="Century Gothic" w:hAnsi="Century Gothic" w:cs="Helvetica"/>
        </w:rPr>
        <w:t xml:space="preserve">with </w:t>
      </w:r>
      <w:r w:rsidRPr="002F68DC">
        <w:rPr>
          <w:rFonts w:ascii="Century Gothic" w:hAnsi="Century Gothic" w:cs="Helvetica"/>
        </w:rPr>
        <w:t xml:space="preserve">AUROC </w:t>
      </w:r>
      <w:r w:rsidR="006912DE" w:rsidRPr="002F68DC">
        <w:rPr>
          <w:rFonts w:ascii="Century Gothic" w:hAnsi="Century Gothic" w:cs="Helvetica"/>
        </w:rPr>
        <w:t xml:space="preserve">equal to </w:t>
      </w:r>
      <w:r w:rsidR="004226C5" w:rsidRPr="002F68DC">
        <w:rPr>
          <w:rFonts w:ascii="Century Gothic" w:hAnsi="Century Gothic" w:cs="Helvetica"/>
        </w:rPr>
        <w:t>0.65</w:t>
      </w:r>
      <w:r w:rsidRPr="002F68DC">
        <w:rPr>
          <w:rFonts w:ascii="Century Gothic" w:hAnsi="Century Gothic" w:cs="Helvetica"/>
        </w:rPr>
        <w:t xml:space="preserve"> [</w:t>
      </w:r>
      <w:r w:rsidR="006912DE" w:rsidRPr="002F68DC">
        <w:rPr>
          <w:rFonts w:ascii="Century Gothic" w:hAnsi="Century Gothic" w:cs="Helvetica"/>
        </w:rPr>
        <w:t>95% CI=</w:t>
      </w:r>
      <w:r w:rsidRPr="002F68DC">
        <w:rPr>
          <w:rFonts w:ascii="Century Gothic" w:hAnsi="Century Gothic" w:cs="Helvetica"/>
        </w:rPr>
        <w:t>0.</w:t>
      </w:r>
      <w:r w:rsidR="004226C5" w:rsidRPr="002F68DC">
        <w:rPr>
          <w:rFonts w:ascii="Century Gothic" w:hAnsi="Century Gothic" w:cs="Helvetica"/>
        </w:rPr>
        <w:t>54</w:t>
      </w:r>
      <w:r w:rsidRPr="002F68DC">
        <w:rPr>
          <w:rFonts w:ascii="Century Gothic" w:hAnsi="Century Gothic" w:cs="Helvetica"/>
        </w:rPr>
        <w:t>-0.</w:t>
      </w:r>
      <w:r w:rsidR="004226C5" w:rsidRPr="002F68DC">
        <w:rPr>
          <w:rFonts w:ascii="Century Gothic" w:hAnsi="Century Gothic" w:cs="Helvetica"/>
        </w:rPr>
        <w:t>76</w:t>
      </w:r>
      <w:r w:rsidRPr="002F68DC">
        <w:rPr>
          <w:rFonts w:ascii="Century Gothic" w:hAnsi="Century Gothic" w:cs="Helvetica"/>
        </w:rPr>
        <w:t xml:space="preserve">]. </w:t>
      </w:r>
      <w:r w:rsidR="005B62D7" w:rsidRPr="002F68DC">
        <w:rPr>
          <w:rFonts w:ascii="Century Gothic" w:hAnsi="Century Gothic"/>
        </w:rPr>
        <w:t>The circulatory levels of Histidine correlated well the erythrocyte sedimentation rate (</w:t>
      </w:r>
      <w:r w:rsidR="005B62D7" w:rsidRPr="002F68DC">
        <w:rPr>
          <w:rFonts w:ascii="Century Gothic" w:hAnsi="Century Gothic"/>
          <w:i/>
          <w:iCs/>
        </w:rPr>
        <w:t>r</w:t>
      </w:r>
      <w:r w:rsidR="005B62D7" w:rsidRPr="002F68DC">
        <w:rPr>
          <w:rFonts w:ascii="Century Gothic" w:hAnsi="Century Gothic"/>
        </w:rPr>
        <w:t xml:space="preserve"> =</w:t>
      </w:r>
      <w:r w:rsidR="006912DE" w:rsidRPr="002F68DC">
        <w:rPr>
          <w:rFonts w:ascii="Century Gothic" w:hAnsi="Century Gothic"/>
        </w:rPr>
        <w:t xml:space="preserve"> -</w:t>
      </w:r>
      <w:r w:rsidR="005B62D7" w:rsidRPr="002F68DC">
        <w:rPr>
          <w:rFonts w:ascii="Century Gothic" w:hAnsi="Century Gothic"/>
        </w:rPr>
        <w:t xml:space="preserve"> </w:t>
      </w:r>
      <w:r w:rsidR="006912DE" w:rsidRPr="002F68DC">
        <w:rPr>
          <w:rFonts w:ascii="Century Gothic" w:hAnsi="Century Gothic"/>
        </w:rPr>
        <w:t>0.19</w:t>
      </w:r>
      <w:r w:rsidR="005B62D7" w:rsidRPr="002F68DC">
        <w:rPr>
          <w:rFonts w:ascii="Century Gothic" w:hAnsi="Century Gothic"/>
        </w:rPr>
        <w:t xml:space="preserve">, </w:t>
      </w:r>
      <w:r w:rsidR="005B62D7" w:rsidRPr="002F68DC">
        <w:rPr>
          <w:rFonts w:ascii="Century Gothic" w:hAnsi="Century Gothic"/>
          <w:i/>
          <w:iCs/>
        </w:rPr>
        <w:t>p</w:t>
      </w:r>
      <w:r w:rsidR="005B62D7" w:rsidRPr="002F68DC">
        <w:rPr>
          <w:rFonts w:ascii="Century Gothic" w:hAnsi="Century Gothic"/>
        </w:rPr>
        <w:t xml:space="preserve"> &lt; 0.0</w:t>
      </w:r>
      <w:r w:rsidR="006912DE" w:rsidRPr="002F68DC">
        <w:rPr>
          <w:rFonts w:ascii="Century Gothic" w:hAnsi="Century Gothic"/>
        </w:rPr>
        <w:t>75</w:t>
      </w:r>
      <w:r w:rsidR="005B62D7" w:rsidRPr="002F68DC">
        <w:rPr>
          <w:rFonts w:ascii="Century Gothic" w:hAnsi="Century Gothic"/>
        </w:rPr>
        <w:t>) and with the C-reactive protein level (</w:t>
      </w:r>
      <w:r w:rsidR="005B62D7" w:rsidRPr="002F68DC">
        <w:rPr>
          <w:rFonts w:ascii="Century Gothic" w:hAnsi="Century Gothic"/>
          <w:i/>
          <w:iCs/>
        </w:rPr>
        <w:t>r</w:t>
      </w:r>
      <w:r w:rsidR="005B62D7" w:rsidRPr="002F68DC">
        <w:rPr>
          <w:rFonts w:ascii="Century Gothic" w:hAnsi="Century Gothic"/>
        </w:rPr>
        <w:t xml:space="preserve"> = </w:t>
      </w:r>
      <w:r w:rsidR="006912DE" w:rsidRPr="002F68DC">
        <w:rPr>
          <w:rFonts w:ascii="Century Gothic" w:hAnsi="Century Gothic"/>
        </w:rPr>
        <w:t>-</w:t>
      </w:r>
      <w:r w:rsidR="005B62D7" w:rsidRPr="002F68DC">
        <w:rPr>
          <w:rFonts w:ascii="Century Gothic" w:hAnsi="Century Gothic"/>
        </w:rPr>
        <w:t>0.</w:t>
      </w:r>
      <w:r w:rsidR="006912DE" w:rsidRPr="002F68DC">
        <w:rPr>
          <w:rFonts w:ascii="Century Gothic" w:hAnsi="Century Gothic"/>
        </w:rPr>
        <w:t>26</w:t>
      </w:r>
      <w:r w:rsidR="005B62D7" w:rsidRPr="002F68DC">
        <w:rPr>
          <w:rFonts w:ascii="Century Gothic" w:hAnsi="Century Gothic"/>
        </w:rPr>
        <w:t xml:space="preserve">, </w:t>
      </w:r>
      <w:r w:rsidR="005B62D7" w:rsidRPr="002F68DC">
        <w:rPr>
          <w:rFonts w:ascii="Century Gothic" w:hAnsi="Century Gothic"/>
          <w:i/>
          <w:iCs/>
        </w:rPr>
        <w:t>p</w:t>
      </w:r>
      <w:r w:rsidR="005B62D7" w:rsidRPr="002F68DC">
        <w:rPr>
          <w:rFonts w:ascii="Century Gothic" w:hAnsi="Century Gothic"/>
        </w:rPr>
        <w:t xml:space="preserve"> &lt; 0.0</w:t>
      </w:r>
      <w:r w:rsidR="006912DE" w:rsidRPr="002F68DC">
        <w:rPr>
          <w:rFonts w:ascii="Century Gothic" w:hAnsi="Century Gothic"/>
        </w:rPr>
        <w:t>1</w:t>
      </w:r>
      <w:r w:rsidR="005B62D7" w:rsidRPr="002F68DC">
        <w:rPr>
          <w:rFonts w:ascii="Century Gothic" w:hAnsi="Century Gothic"/>
        </w:rPr>
        <w:t>).</w:t>
      </w:r>
      <w:r w:rsidR="002F68DC" w:rsidRPr="002F68DC">
        <w:rPr>
          <w:rFonts w:ascii="Century Gothic" w:hAnsi="Century Gothic"/>
        </w:rPr>
        <w:t xml:space="preserve"> </w:t>
      </w:r>
      <w:r w:rsidR="001775AE" w:rsidRPr="002F68DC">
        <w:rPr>
          <w:rFonts w:ascii="Century Gothic" w:hAnsi="Century Gothic" w:cs="Helvetica"/>
          <w:b/>
        </w:rPr>
        <w:t>Conclusion:</w:t>
      </w:r>
      <w:r w:rsidR="001775AE" w:rsidRPr="002F68DC">
        <w:rPr>
          <w:rFonts w:ascii="Century Gothic" w:hAnsi="Century Gothic" w:cs="Helvetica"/>
        </w:rPr>
        <w:t xml:space="preserve"> The circulatory levels of h</w:t>
      </w:r>
      <w:r w:rsidR="001775AE" w:rsidRPr="002F68DC">
        <w:rPr>
          <w:rFonts w:ascii="Century Gothic" w:eastAsia="Times New Roman" w:hAnsi="Century Gothic" w:cs="Arial"/>
          <w:color w:val="000000"/>
        </w:rPr>
        <w:t>istidine</w:t>
      </w:r>
      <w:r w:rsidRPr="002F68DC">
        <w:rPr>
          <w:rFonts w:ascii="Century Gothic" w:eastAsia="Times New Roman" w:hAnsi="Century Gothic" w:cs="Arial"/>
          <w:color w:val="000000"/>
        </w:rPr>
        <w:t xml:space="preserve"> may </w:t>
      </w:r>
      <w:r w:rsidR="001775AE" w:rsidRPr="002F68DC">
        <w:rPr>
          <w:rFonts w:ascii="Century Gothic" w:eastAsia="Times New Roman" w:hAnsi="Century Gothic" w:cs="Arial"/>
          <w:color w:val="000000"/>
        </w:rPr>
        <w:t xml:space="preserve">serve as a </w:t>
      </w:r>
      <w:r w:rsidRPr="002F68DC">
        <w:rPr>
          <w:rFonts w:ascii="Century Gothic" w:eastAsia="Times New Roman" w:hAnsi="Century Gothic" w:cs="Arial"/>
          <w:color w:val="000000"/>
        </w:rPr>
        <w:t>useful biomarker</w:t>
      </w:r>
      <w:r w:rsidR="001775AE" w:rsidRPr="002F68DC">
        <w:rPr>
          <w:rFonts w:ascii="Century Gothic" w:eastAsia="Times New Roman" w:hAnsi="Century Gothic" w:cs="Arial"/>
          <w:color w:val="000000"/>
        </w:rPr>
        <w:t xml:space="preserve"> </w:t>
      </w:r>
      <w:r w:rsidR="001775AE" w:rsidRPr="002F68DC">
        <w:rPr>
          <w:rFonts w:ascii="Century Gothic" w:hAnsi="Century Gothic" w:cs="Helvetica"/>
        </w:rPr>
        <w:t xml:space="preserve">for the assessment of disease activity </w:t>
      </w:r>
      <w:r w:rsidR="005B62D7" w:rsidRPr="002F68DC">
        <w:rPr>
          <w:rFonts w:ascii="Century Gothic" w:hAnsi="Century Gothic" w:cs="Helvetica"/>
        </w:rPr>
        <w:t xml:space="preserve">and guiding treatment </w:t>
      </w:r>
      <w:r w:rsidR="001775AE" w:rsidRPr="002F68DC">
        <w:rPr>
          <w:rFonts w:ascii="Century Gothic" w:hAnsi="Century Gothic" w:cs="Helvetica"/>
        </w:rPr>
        <w:t>in TA patients. However, its use in clinical settings will require future studies on large patient cohorts in a longitudinal manner and procedural optimization as well to improve accuracy.</w:t>
      </w:r>
    </w:p>
    <w:p w:rsidR="001775AE" w:rsidRPr="002F68DC" w:rsidRDefault="001775AE" w:rsidP="001775AE"/>
    <w:p w:rsidR="00DE1105" w:rsidRPr="002F68DC" w:rsidRDefault="00353CC4" w:rsidP="00DE1105">
      <w:pPr>
        <w:jc w:val="both"/>
        <w:rPr>
          <w:rFonts w:ascii="Tw Cen MT" w:hAnsi="Tw Cen MT" w:cs="Helvetica"/>
          <w:b/>
          <w:sz w:val="24"/>
        </w:rPr>
      </w:pPr>
      <w:r w:rsidRPr="002F68DC">
        <w:rPr>
          <w:rFonts w:ascii="Tw Cen MT" w:hAnsi="Tw Cen MT" w:cs="Helvetica"/>
          <w:b/>
          <w:sz w:val="24"/>
        </w:rPr>
        <w:t>References:</w:t>
      </w:r>
    </w:p>
    <w:p w:rsidR="004226C5" w:rsidRPr="002F68DC" w:rsidRDefault="00353CC4" w:rsidP="004226C5">
      <w:pPr>
        <w:tabs>
          <w:tab w:val="left" w:pos="360"/>
        </w:tabs>
        <w:spacing w:after="360" w:line="240" w:lineRule="auto"/>
        <w:ind w:left="360" w:hanging="360"/>
        <w:rPr>
          <w:rFonts w:ascii="Tw Cen MT" w:hAnsi="Tw Cen MT" w:cs="Calibri"/>
        </w:rPr>
      </w:pPr>
      <w:r w:rsidRPr="002F68DC">
        <w:rPr>
          <w:rFonts w:ascii="Tw Cen MT" w:hAnsi="Tw Cen MT"/>
        </w:rPr>
        <w:fldChar w:fldCharType="begin"/>
      </w:r>
      <w:r w:rsidRPr="002F68DC">
        <w:rPr>
          <w:rFonts w:ascii="Tw Cen MT" w:hAnsi="Tw Cen MT"/>
        </w:rPr>
        <w:instrText xml:space="preserve"> ADDIN REFMGR.REFLIST </w:instrText>
      </w:r>
      <w:r w:rsidRPr="002F68DC">
        <w:rPr>
          <w:rFonts w:ascii="Tw Cen MT" w:hAnsi="Tw Cen MT"/>
        </w:rPr>
        <w:fldChar w:fldCharType="separate"/>
      </w:r>
      <w:r w:rsidR="004226C5" w:rsidRPr="002F68DC">
        <w:rPr>
          <w:rFonts w:ascii="Tw Cen MT" w:hAnsi="Tw Cen MT" w:cs="Calibri"/>
        </w:rPr>
        <w:t xml:space="preserve"> [1] </w:t>
      </w:r>
      <w:r w:rsidR="004226C5" w:rsidRPr="002F68DC">
        <w:rPr>
          <w:rFonts w:ascii="Tw Cen MT" w:hAnsi="Tw Cen MT" w:cs="Calibri"/>
        </w:rPr>
        <w:tab/>
        <w:t xml:space="preserve">W.h. Liu, T.c. Liu, </w:t>
      </w:r>
      <w:proofErr w:type="gramStart"/>
      <w:r w:rsidR="004226C5" w:rsidRPr="002F68DC">
        <w:rPr>
          <w:rFonts w:ascii="Tw Cen MT" w:hAnsi="Tw Cen MT" w:cs="Calibri"/>
        </w:rPr>
        <w:t>M.c</w:t>
      </w:r>
      <w:proofErr w:type="gramEnd"/>
      <w:r w:rsidR="004226C5" w:rsidRPr="002F68DC">
        <w:rPr>
          <w:rFonts w:ascii="Tw Cen MT" w:hAnsi="Tw Cen MT" w:cs="Calibri"/>
        </w:rPr>
        <w:t>. Yin, Beneficial effects of histidine and carnosine on ethanol-induced chronic liver injury, Food and chemical toxicology 46 (2008) 1503-1509.</w:t>
      </w:r>
    </w:p>
    <w:p w:rsidR="004226C5" w:rsidRPr="002F68DC" w:rsidRDefault="004226C5" w:rsidP="004226C5">
      <w:pPr>
        <w:tabs>
          <w:tab w:val="left" w:pos="360"/>
        </w:tabs>
        <w:spacing w:after="0" w:line="240" w:lineRule="auto"/>
        <w:ind w:left="360" w:hanging="360"/>
        <w:rPr>
          <w:rFonts w:ascii="Tw Cen MT" w:hAnsi="Tw Cen MT" w:cs="Calibri"/>
        </w:rPr>
      </w:pPr>
      <w:r w:rsidRPr="002F68DC">
        <w:rPr>
          <w:rFonts w:ascii="Tw Cen MT" w:hAnsi="Tw Cen MT" w:cs="Calibri"/>
        </w:rPr>
        <w:t xml:space="preserve"> [2] </w:t>
      </w:r>
      <w:r w:rsidRPr="002F68DC">
        <w:rPr>
          <w:rFonts w:ascii="Tw Cen MT" w:hAnsi="Tw Cen MT" w:cs="Calibri"/>
        </w:rPr>
        <w:tab/>
        <w:t>A.M. Wade, H.N. Tucker, Antioxidant characteristics of L-histidine, The Journal of Nutritional Biochemistry 9 (1998) 308-315.</w:t>
      </w:r>
    </w:p>
    <w:p w:rsidR="004226C5" w:rsidRPr="002F68DC" w:rsidRDefault="004226C5" w:rsidP="004226C5">
      <w:pPr>
        <w:tabs>
          <w:tab w:val="left" w:pos="360"/>
        </w:tabs>
        <w:spacing w:after="0" w:line="240" w:lineRule="auto"/>
        <w:ind w:left="360" w:hanging="360"/>
        <w:rPr>
          <w:rFonts w:ascii="Tw Cen MT" w:hAnsi="Tw Cen MT" w:cs="Calibri"/>
        </w:rPr>
      </w:pPr>
    </w:p>
    <w:p w:rsidR="005B62D7" w:rsidRPr="00C97385" w:rsidRDefault="00353CC4" w:rsidP="00C97385">
      <w:pPr>
        <w:tabs>
          <w:tab w:val="left" w:pos="360"/>
        </w:tabs>
        <w:spacing w:after="0" w:line="240" w:lineRule="auto"/>
        <w:rPr>
          <w:rFonts w:ascii="Tw Cen MT" w:hAnsi="Tw Cen MT"/>
        </w:rPr>
      </w:pPr>
      <w:r w:rsidRPr="002F68DC">
        <w:rPr>
          <w:rFonts w:ascii="Tw Cen MT" w:hAnsi="Tw Cen MT"/>
        </w:rPr>
        <w:fldChar w:fldCharType="end"/>
      </w:r>
    </w:p>
    <w:sectPr w:rsidR="005B62D7" w:rsidRPr="00C97385" w:rsidSect="00DE1105">
      <w:footerReference w:type="default" r:id="rId8"/>
      <w:pgSz w:w="12240" w:h="15840"/>
      <w:pgMar w:top="720" w:right="720" w:bottom="720" w:left="72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770" w:rsidRDefault="00305770" w:rsidP="00DE1105">
      <w:pPr>
        <w:spacing w:after="0" w:line="240" w:lineRule="auto"/>
      </w:pPr>
      <w:r>
        <w:separator/>
      </w:r>
    </w:p>
  </w:endnote>
  <w:endnote w:type="continuationSeparator" w:id="0">
    <w:p w:rsidR="00305770" w:rsidRDefault="00305770" w:rsidP="00DE11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TimesNewRoman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1105" w:rsidRPr="00DE1105" w:rsidRDefault="00DE1105" w:rsidP="00DE1105">
    <w:pPr>
      <w:pStyle w:val="Footer"/>
      <w:jc w:val="right"/>
      <w:rPr>
        <w:rFonts w:ascii="Century Gothic" w:hAnsi="Century Gothic"/>
      </w:rPr>
    </w:pPr>
    <w:r w:rsidRPr="00DE1105">
      <w:rPr>
        <w:rFonts w:ascii="Century Gothic" w:hAnsi="Century Gothic"/>
      </w:rPr>
      <w:t xml:space="preserve">Contact for Correspondence: </w:t>
    </w:r>
    <w:hyperlink r:id="rId1" w:history="1">
      <w:r w:rsidRPr="00EF548C">
        <w:rPr>
          <w:rStyle w:val="Hyperlink"/>
          <w:rFonts w:ascii="Century Gothic" w:hAnsi="Century Gothic"/>
        </w:rPr>
        <w:t>dineshcbmr@gmail.com</w:t>
      </w:r>
    </w:hyperlink>
    <w:r>
      <w:rPr>
        <w:rFonts w:ascii="Century Gothic" w:hAnsi="Century Gothic"/>
      </w:rPr>
      <w:t xml:space="preserve"> </w:t>
    </w:r>
    <w:r w:rsidRPr="00DE1105">
      <w:rPr>
        <w:rFonts w:ascii="Century Gothic" w:hAnsi="Century Gothic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770" w:rsidRDefault="00305770" w:rsidP="00DE1105">
      <w:pPr>
        <w:spacing w:after="0" w:line="240" w:lineRule="auto"/>
      </w:pPr>
      <w:r>
        <w:separator/>
      </w:r>
    </w:p>
  </w:footnote>
  <w:footnote w:type="continuationSeparator" w:id="0">
    <w:p w:rsidR="00305770" w:rsidRDefault="00305770" w:rsidP="00DE110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REFMGR.InstantFormat" w:val="&lt;InstantFormat&gt;&lt;Enabled&gt;1&lt;/Enabled&gt;&lt;ScanUnformatted&gt;1&lt;/ScanUnformatted&gt;&lt;ScanChanges&gt;1&lt;/ScanChanges&gt;&lt;/InstantFormat&gt;"/>
    <w:docVar w:name="REFMGR.Libraries" w:val="&lt;Databases&gt;&lt;Libraries&gt;&lt;item&gt;TA&lt;/item&gt;&lt;/Libraries&gt;&lt;/Databases&gt;"/>
  </w:docVars>
  <w:rsids>
    <w:rsidRoot w:val="00DE1105"/>
    <w:rsid w:val="001775AE"/>
    <w:rsid w:val="00255EA2"/>
    <w:rsid w:val="002702AF"/>
    <w:rsid w:val="002F68DC"/>
    <w:rsid w:val="00305770"/>
    <w:rsid w:val="003214A3"/>
    <w:rsid w:val="00353CC4"/>
    <w:rsid w:val="003745ED"/>
    <w:rsid w:val="003814F1"/>
    <w:rsid w:val="004226C5"/>
    <w:rsid w:val="004C74C8"/>
    <w:rsid w:val="005A2A4A"/>
    <w:rsid w:val="005B62D7"/>
    <w:rsid w:val="005B671F"/>
    <w:rsid w:val="006421BC"/>
    <w:rsid w:val="00646B90"/>
    <w:rsid w:val="00687400"/>
    <w:rsid w:val="006912DE"/>
    <w:rsid w:val="007326BB"/>
    <w:rsid w:val="00857241"/>
    <w:rsid w:val="008A4098"/>
    <w:rsid w:val="00904414"/>
    <w:rsid w:val="009566E9"/>
    <w:rsid w:val="009B5D91"/>
    <w:rsid w:val="00A06F76"/>
    <w:rsid w:val="00A32507"/>
    <w:rsid w:val="00BE5854"/>
    <w:rsid w:val="00C97385"/>
    <w:rsid w:val="00DE1105"/>
    <w:rsid w:val="00E17FCD"/>
    <w:rsid w:val="00E3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105"/>
    <w:rPr>
      <w:rFonts w:eastAsiaTheme="minorEastAsia"/>
    </w:rPr>
  </w:style>
  <w:style w:type="paragraph" w:styleId="Heading4">
    <w:name w:val="heading 4"/>
    <w:basedOn w:val="Normal"/>
    <w:link w:val="Heading4Char"/>
    <w:uiPriority w:val="9"/>
    <w:qFormat/>
    <w:rsid w:val="00DE11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J-Affiliation">
    <w:name w:val="BJ-Affiliation"/>
    <w:rsid w:val="00DE1105"/>
    <w:pPr>
      <w:spacing w:after="340" w:line="180" w:lineRule="exact"/>
    </w:pPr>
    <w:rPr>
      <w:rFonts w:ascii="Arial" w:eastAsia="Times New Roman" w:hAnsi="Arial" w:cs="Arial"/>
      <w:sz w:val="16"/>
      <w:szCs w:val="24"/>
    </w:rPr>
  </w:style>
  <w:style w:type="table" w:styleId="TableGrid">
    <w:name w:val="Table Grid"/>
    <w:basedOn w:val="TableNormal"/>
    <w:uiPriority w:val="59"/>
    <w:rsid w:val="00DE1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110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1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10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E1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105"/>
    <w:rPr>
      <w:rFonts w:eastAsiaTheme="minorEastAsia"/>
    </w:rPr>
  </w:style>
  <w:style w:type="character" w:customStyle="1" w:styleId="Heading4Char">
    <w:name w:val="Heading 4 Char"/>
    <w:basedOn w:val="DefaultParagraphFont"/>
    <w:link w:val="Heading4"/>
    <w:uiPriority w:val="9"/>
    <w:rsid w:val="00DE110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E1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1">
    <w:name w:val="Title1"/>
    <w:basedOn w:val="DefaultParagraphFont"/>
    <w:rsid w:val="005B62D7"/>
  </w:style>
  <w:style w:type="paragraph" w:styleId="BalloonText">
    <w:name w:val="Balloon Text"/>
    <w:basedOn w:val="Normal"/>
    <w:link w:val="BalloonTextChar"/>
    <w:uiPriority w:val="99"/>
    <w:semiHidden/>
    <w:unhideWhenUsed/>
    <w:rsid w:val="00422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6C5"/>
    <w:rPr>
      <w:rFonts w:ascii="Tahoma" w:eastAsiaTheme="minorEastAsi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1105"/>
    <w:rPr>
      <w:rFonts w:eastAsiaTheme="minorEastAsia"/>
    </w:rPr>
  </w:style>
  <w:style w:type="paragraph" w:styleId="Heading4">
    <w:name w:val="heading 4"/>
    <w:basedOn w:val="Normal"/>
    <w:link w:val="Heading4Char"/>
    <w:uiPriority w:val="9"/>
    <w:qFormat/>
    <w:rsid w:val="00DE110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J-Affiliation">
    <w:name w:val="BJ-Affiliation"/>
    <w:rsid w:val="00DE1105"/>
    <w:pPr>
      <w:spacing w:after="340" w:line="180" w:lineRule="exact"/>
    </w:pPr>
    <w:rPr>
      <w:rFonts w:ascii="Arial" w:eastAsia="Times New Roman" w:hAnsi="Arial" w:cs="Arial"/>
      <w:sz w:val="16"/>
      <w:szCs w:val="24"/>
    </w:rPr>
  </w:style>
  <w:style w:type="table" w:styleId="TableGrid">
    <w:name w:val="Table Grid"/>
    <w:basedOn w:val="TableNormal"/>
    <w:uiPriority w:val="59"/>
    <w:rsid w:val="00DE11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DE1105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DE1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E1105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DE110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E1105"/>
    <w:rPr>
      <w:rFonts w:eastAsiaTheme="minorEastAsia"/>
    </w:rPr>
  </w:style>
  <w:style w:type="character" w:customStyle="1" w:styleId="Heading4Char">
    <w:name w:val="Heading 4 Char"/>
    <w:basedOn w:val="DefaultParagraphFont"/>
    <w:link w:val="Heading4"/>
    <w:uiPriority w:val="9"/>
    <w:rsid w:val="00DE1105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DE11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itle1">
    <w:name w:val="Title1"/>
    <w:basedOn w:val="DefaultParagraphFont"/>
    <w:rsid w:val="005B62D7"/>
  </w:style>
  <w:style w:type="paragraph" w:styleId="BalloonText">
    <w:name w:val="Balloon Text"/>
    <w:basedOn w:val="Normal"/>
    <w:link w:val="BalloonTextChar"/>
    <w:uiPriority w:val="99"/>
    <w:semiHidden/>
    <w:unhideWhenUsed/>
    <w:rsid w:val="004226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26C5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574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2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139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18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dineshcbmr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D3B377-CF3C-4FF3-9603-DD58A8DFC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729</Words>
  <Characters>4161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</dc:creator>
  <cp:lastModifiedBy>DEL</cp:lastModifiedBy>
  <cp:revision>4</cp:revision>
  <dcterms:created xsi:type="dcterms:W3CDTF">2019-12-20T09:31:00Z</dcterms:created>
  <dcterms:modified xsi:type="dcterms:W3CDTF">2019-12-20T09:36:00Z</dcterms:modified>
</cp:coreProperties>
</file>