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1D4" w:rsidRPr="005509DF" w:rsidRDefault="00FE31D4" w:rsidP="00FE31D4">
      <w:pPr>
        <w:jc w:val="center"/>
        <w:rPr>
          <w:b/>
          <w:sz w:val="24"/>
        </w:rPr>
      </w:pPr>
      <w:r w:rsidRPr="005509DF">
        <w:rPr>
          <w:b/>
          <w:sz w:val="24"/>
        </w:rPr>
        <w:t>Formulation and Preclinical Evaluation of a Novel Buccal and Transdermal Measles Vaccine</w:t>
      </w:r>
    </w:p>
    <w:p w:rsidR="00FE31D4" w:rsidRDefault="00FE31D4" w:rsidP="00FE31D4">
      <w:pPr>
        <w:ind w:firstLine="720"/>
        <w:jc w:val="both"/>
      </w:pPr>
      <w:bookmarkStart w:id="0" w:name="_GoBack"/>
      <w:bookmarkEnd w:id="0"/>
    </w:p>
    <w:p w:rsidR="00FE31D4" w:rsidRDefault="00FE31D4" w:rsidP="00FE31D4">
      <w:pPr>
        <w:ind w:firstLine="720"/>
        <w:jc w:val="both"/>
      </w:pPr>
      <w:r>
        <w:t xml:space="preserve">The goal of this study was to evaluate the potential of novel dosage forms such as Oral Disintegrating Films (ODF) for buccal delivery and microneedles for transdermal delivery as immunization strategies. We have incorporated Measles virus as a model vaccine antigen into </w:t>
      </w:r>
      <w:proofErr w:type="spellStart"/>
      <w:r>
        <w:t>microparticles</w:t>
      </w:r>
      <w:proofErr w:type="spellEnd"/>
      <w:r>
        <w:t xml:space="preserve"> using the spray drying method. We have previously shown that antigens when encapsulated in a </w:t>
      </w:r>
      <w:proofErr w:type="spellStart"/>
      <w:r>
        <w:t>microparticle</w:t>
      </w:r>
      <w:proofErr w:type="spellEnd"/>
      <w:r>
        <w:t xml:space="preserve">, induce a better immune response when compared to the solution. These </w:t>
      </w:r>
      <w:proofErr w:type="spellStart"/>
      <w:r>
        <w:t>microparticles</w:t>
      </w:r>
      <w:proofErr w:type="spellEnd"/>
      <w:r>
        <w:t xml:space="preserve"> are incorporated in Oral dissolving film which is composed of the film forming the polymer (</w:t>
      </w:r>
      <w:proofErr w:type="spellStart"/>
      <w:r>
        <w:t>Lycoat</w:t>
      </w:r>
      <w:proofErr w:type="spellEnd"/>
      <w:r>
        <w:t xml:space="preserve"> RS720, </w:t>
      </w:r>
      <w:proofErr w:type="spellStart"/>
      <w:r>
        <w:t>Roquette</w:t>
      </w:r>
      <w:proofErr w:type="spellEnd"/>
      <w:r>
        <w:t xml:space="preserve"> America INC.). The film formulation was cast using a BYK- Gardner, mechanical drive Resource I equipment and dried air dried. We have tested this novel ODF vaccine formulation in juvenile porcine model and found that significantly increased levels of antibody have been produced in contrast to naïve juvenile porcine controls. We have also demonstrated antigen presentation and induction of innate immunity in response to our vaccine in vivo. </w:t>
      </w:r>
    </w:p>
    <w:p w:rsidR="00FE31D4" w:rsidRDefault="00FE31D4" w:rsidP="00FE31D4">
      <w:pPr>
        <w:ind w:firstLine="720"/>
        <w:jc w:val="both"/>
      </w:pPr>
      <w:r>
        <w:t xml:space="preserve">In our second approach, we have formulated maltose based microneedles which contain the measles vaccine </w:t>
      </w:r>
      <w:proofErr w:type="spellStart"/>
      <w:r>
        <w:t>microparticles</w:t>
      </w:r>
      <w:proofErr w:type="spellEnd"/>
      <w:r>
        <w:t xml:space="preserve">. These microneedles are prepared using casting and drying method. Final patch of the microneedles has 100 needles of 600 micrometers length. This was administered to mice and measured the antibody responses. We found significantly higher antibody titers in mice immunized by microneedles </w:t>
      </w:r>
      <w:proofErr w:type="spellStart"/>
      <w:r>
        <w:t>transdermally</w:t>
      </w:r>
      <w:proofErr w:type="spellEnd"/>
      <w:r>
        <w:t xml:space="preserve"> when compared to subcutaneous administration. We have also carried out the characterization of these microneedles both in-vitro and in-vivo. </w:t>
      </w:r>
    </w:p>
    <w:p w:rsidR="00FE31D4" w:rsidRDefault="00FE31D4" w:rsidP="00FE31D4">
      <w:pPr>
        <w:ind w:firstLine="720"/>
        <w:jc w:val="both"/>
      </w:pPr>
      <w:r>
        <w:t xml:space="preserve">Both the ODF and Microneedles are promising delivery routes for immunization. The larger aim of developing new dosage forms is to improve patient compliance by making the route of administration very easy. The ODF could be directly placed in the buccal cavity and the microneedles patch could be applied on the skin similar to a Band-Aid. </w:t>
      </w:r>
    </w:p>
    <w:p w:rsidR="0012669D" w:rsidRDefault="0012669D"/>
    <w:sectPr w:rsidR="001266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06"/>
    <w:rsid w:val="0012669D"/>
    <w:rsid w:val="00944F06"/>
    <w:rsid w:val="00FE3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5BA9"/>
  <w15:chartTrackingRefBased/>
  <w15:docId w15:val="{3E84FFBE-07BC-4A55-A2A8-E5C0379B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1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2017-10-18T21:53:00Z</dcterms:created>
  <dcterms:modified xsi:type="dcterms:W3CDTF">2017-10-18T21:53:00Z</dcterms:modified>
</cp:coreProperties>
</file>