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F057E6" w:rsidP="00494130">
      <w:pPr>
        <w:pStyle w:val="Nagwek1"/>
        <w:spacing w:before="170"/>
        <w:ind w:left="0"/>
        <w:rPr>
          <w:color w:val="337AB7"/>
        </w:rPr>
      </w:pPr>
      <w:r>
        <w:rPr>
          <w:color w:val="337AB7"/>
        </w:rPr>
        <w:t>Does Phytohemagglutinin-L may be useful f</w:t>
      </w:r>
      <w:r w:rsidR="00157DD7">
        <w:rPr>
          <w:color w:val="337AB7"/>
        </w:rPr>
        <w:t>or studying glycocalyx role of PBMC</w:t>
      </w:r>
      <w:r>
        <w:rPr>
          <w:color w:val="337AB7"/>
        </w:rPr>
        <w:t xml:space="preserve"> cells in patients with atopic dermatitis?</w:t>
      </w:r>
    </w:p>
    <w:p w:rsidR="00F057E6" w:rsidRDefault="00F057E6" w:rsidP="00494130">
      <w:pPr>
        <w:pStyle w:val="Nagwek1"/>
        <w:spacing w:before="170"/>
        <w:ind w:left="0"/>
      </w:pPr>
    </w:p>
    <w:p w:rsidR="005973B9" w:rsidRDefault="00F057E6" w:rsidP="00F057E6">
      <w:pPr>
        <w:pStyle w:val="Tekstpodstawowy"/>
        <w:spacing w:before="73" w:line="198" w:lineRule="exact"/>
        <w:ind w:left="100" w:right="5987"/>
        <w:rPr>
          <w:rFonts w:ascii="Arial"/>
        </w:rPr>
      </w:pPr>
      <w:r>
        <w:rPr>
          <w:rFonts w:ascii="Arial"/>
        </w:rPr>
        <w:t>Anna M</w:t>
      </w:r>
      <w:r w:rsidR="005973B9">
        <w:rPr>
          <w:rFonts w:ascii="Arial"/>
        </w:rPr>
        <w:t xml:space="preserve"> </w:t>
      </w:r>
      <w:r>
        <w:rPr>
          <w:rFonts w:ascii="Arial"/>
        </w:rPr>
        <w:t>Bogdali</w:t>
      </w:r>
      <w:r w:rsidR="005973B9">
        <w:rPr>
          <w:rFonts w:ascii="Arial"/>
        </w:rPr>
        <w:t xml:space="preserve"> PhD, </w:t>
      </w:r>
      <w:r>
        <w:rPr>
          <w:rFonts w:ascii="Arial"/>
        </w:rPr>
        <w:t xml:space="preserve">JUMC, Poland </w:t>
      </w:r>
      <w:r w:rsidR="005973B9">
        <w:rPr>
          <w:rFonts w:ascii="Arial"/>
        </w:rPr>
        <w:t xml:space="preserve"> </w:t>
      </w:r>
      <w:r>
        <w:rPr>
          <w:rFonts w:ascii="Arial"/>
        </w:rPr>
        <w:br/>
        <w:t xml:space="preserve">Grazyna </w:t>
      </w:r>
      <w:proofErr w:type="spellStart"/>
      <w:r>
        <w:rPr>
          <w:rFonts w:ascii="Arial"/>
        </w:rPr>
        <w:t>Antoszczyk</w:t>
      </w:r>
      <w:proofErr w:type="spellEnd"/>
      <w:r w:rsidR="005973B9">
        <w:rPr>
          <w:rFonts w:ascii="Arial"/>
        </w:rPr>
        <w:t xml:space="preserve"> PhD, </w:t>
      </w:r>
      <w:r>
        <w:rPr>
          <w:rFonts w:ascii="Arial"/>
        </w:rPr>
        <w:t>JUMC, Poland</w:t>
      </w:r>
    </w:p>
    <w:p w:rsidR="00F057E6" w:rsidRDefault="00F057E6" w:rsidP="005973B9">
      <w:pPr>
        <w:pStyle w:val="Tekstpodstawowy"/>
        <w:spacing w:before="73" w:line="198" w:lineRule="exact"/>
        <w:ind w:left="100" w:right="5987"/>
        <w:rPr>
          <w:rFonts w:ascii="Arial"/>
        </w:rPr>
      </w:pPr>
      <w:proofErr w:type="spellStart"/>
      <w:r>
        <w:rPr>
          <w:rFonts w:ascii="Arial"/>
        </w:rPr>
        <w:t>Wojciech</w:t>
      </w:r>
      <w:proofErr w:type="spellEnd"/>
      <w:r>
        <w:rPr>
          <w:rFonts w:ascii="Arial"/>
        </w:rPr>
        <w:t xml:space="preserve"> </w:t>
      </w:r>
      <w:proofErr w:type="spellStart"/>
      <w:r>
        <w:rPr>
          <w:rFonts w:ascii="Arial"/>
        </w:rPr>
        <w:t>Dyga</w:t>
      </w:r>
      <w:proofErr w:type="spellEnd"/>
      <w:r>
        <w:rPr>
          <w:rFonts w:ascii="Arial"/>
        </w:rPr>
        <w:t xml:space="preserve"> PhD, JUMC, Poland</w:t>
      </w:r>
    </w:p>
    <w:p w:rsidR="00F057E6" w:rsidRDefault="00F057E6" w:rsidP="005973B9">
      <w:pPr>
        <w:pStyle w:val="Tekstpodstawowy"/>
        <w:spacing w:before="73" w:line="198" w:lineRule="exact"/>
        <w:ind w:left="100" w:right="5987"/>
        <w:rPr>
          <w:rFonts w:ascii="Arial"/>
        </w:rPr>
      </w:pPr>
      <w:r>
        <w:rPr>
          <w:rFonts w:ascii="Arial"/>
        </w:rPr>
        <w:t xml:space="preserve">Krystyna </w:t>
      </w:r>
      <w:proofErr w:type="spellStart"/>
      <w:r>
        <w:rPr>
          <w:rFonts w:ascii="Arial"/>
        </w:rPr>
        <w:t>Obtu</w:t>
      </w:r>
      <w:r>
        <w:rPr>
          <w:rFonts w:ascii="Arial"/>
        </w:rPr>
        <w:t>ł</w:t>
      </w:r>
      <w:r>
        <w:rPr>
          <w:rFonts w:ascii="Arial"/>
        </w:rPr>
        <w:t>owicz</w:t>
      </w:r>
      <w:proofErr w:type="spellEnd"/>
      <w:r>
        <w:rPr>
          <w:rFonts w:ascii="Arial"/>
        </w:rPr>
        <w:t xml:space="preserve"> Prof PhD, JUMC, Poland</w:t>
      </w:r>
    </w:p>
    <w:p w:rsidR="00AE3E37" w:rsidRDefault="00AE3E37">
      <w:pPr>
        <w:pStyle w:val="Tekstpodstawowy"/>
        <w:rPr>
          <w:rFonts w:ascii="Arial"/>
          <w:sz w:val="20"/>
        </w:rPr>
      </w:pPr>
    </w:p>
    <w:p w:rsidR="00AE3E37" w:rsidRDefault="00AE3E37">
      <w:pPr>
        <w:pStyle w:val="Tekstpodstawowy"/>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rsidP="003B21CC">
      <w:pPr>
        <w:pStyle w:val="Nagwek3"/>
        <w:spacing w:before="147"/>
        <w:ind w:left="0"/>
        <w:jc w:val="both"/>
      </w:pPr>
      <w:r>
        <w:rPr>
          <w:color w:val="BF5A14"/>
        </w:rPr>
        <w:t>Abstract</w:t>
      </w:r>
      <w:r w:rsidR="00404E5B">
        <w:rPr>
          <w:color w:val="BF5A14"/>
        </w:rPr>
        <w:t xml:space="preserve"> (300 word limit)</w:t>
      </w:r>
    </w:p>
    <w:p w:rsidR="008E1C9F" w:rsidRPr="008E1C9F" w:rsidRDefault="008E1C9F" w:rsidP="008E1C9F">
      <w:pPr>
        <w:jc w:val="both"/>
        <w:rPr>
          <w:rFonts w:ascii="Calibri" w:hAnsi="Calibri" w:cs="Times New Roman"/>
          <w:sz w:val="18"/>
          <w:szCs w:val="18"/>
        </w:rPr>
      </w:pPr>
      <w:r w:rsidRPr="008E1C9F">
        <w:rPr>
          <w:rFonts w:ascii="Calibri" w:hAnsi="Calibri" w:cs="Times New Roman"/>
          <w:sz w:val="18"/>
          <w:szCs w:val="18"/>
        </w:rPr>
        <w:t>Atopic dermatitis is a chronic inflammatory allergic skin disease. Nowadays its frequency increases in the world especially in low-income countries.</w:t>
      </w:r>
      <w:r w:rsidRPr="008E1C9F">
        <w:rPr>
          <w:rFonts w:ascii="Calibri" w:hAnsi="Calibri" w:cs="Times New Roman"/>
          <w:sz w:val="18"/>
          <w:szCs w:val="18"/>
          <w:highlight w:val="yellow"/>
        </w:rPr>
        <w:t xml:space="preserve"> </w:t>
      </w:r>
      <w:r w:rsidRPr="008E1C9F">
        <w:rPr>
          <w:rFonts w:ascii="Calibri" w:hAnsi="Calibri" w:cs="Times New Roman"/>
          <w:sz w:val="18"/>
          <w:szCs w:val="18"/>
        </w:rPr>
        <w:t xml:space="preserve">              </w:t>
      </w:r>
    </w:p>
    <w:p w:rsidR="008E1C9F" w:rsidRDefault="008E1C9F" w:rsidP="008E1C9F">
      <w:pPr>
        <w:jc w:val="both"/>
        <w:rPr>
          <w:rFonts w:ascii="Calibri" w:hAnsi="Calibri" w:cs="Times New Roman"/>
          <w:sz w:val="18"/>
          <w:szCs w:val="18"/>
          <w:lang w:val="es-AR"/>
        </w:rPr>
      </w:pPr>
      <w:r w:rsidRPr="008E1C9F">
        <w:rPr>
          <w:rFonts w:ascii="Calibri" w:hAnsi="Calibri" w:cs="Times New Roman"/>
          <w:sz w:val="18"/>
          <w:szCs w:val="18"/>
        </w:rPr>
        <w:t xml:space="preserve">       </w:t>
      </w:r>
      <w:r w:rsidRPr="00D06BEB">
        <w:rPr>
          <w:rFonts w:ascii="Calibri" w:hAnsi="Calibri" w:cs="Times New Roman"/>
          <w:sz w:val="18"/>
          <w:szCs w:val="18"/>
        </w:rPr>
        <w:t xml:space="preserve">Mechanisms of interaction between molecules such as metals ions </w:t>
      </w:r>
      <w:proofErr w:type="spellStart"/>
      <w:r w:rsidRPr="00D06BEB">
        <w:rPr>
          <w:rFonts w:ascii="Calibri" w:hAnsi="Calibri" w:cs="Times New Roman"/>
          <w:sz w:val="18"/>
          <w:szCs w:val="18"/>
        </w:rPr>
        <w:t>f.e</w:t>
      </w:r>
      <w:proofErr w:type="spellEnd"/>
      <w:r w:rsidRPr="00D06BEB">
        <w:rPr>
          <w:rFonts w:ascii="Calibri" w:hAnsi="Calibri" w:cs="Times New Roman"/>
          <w:sz w:val="18"/>
          <w:szCs w:val="18"/>
        </w:rPr>
        <w:t xml:space="preserve">. nickel, proteins and receptors expressed on the cell membrane is still not well understood. </w:t>
      </w:r>
      <w:r w:rsidRPr="008E1C9F">
        <w:rPr>
          <w:rFonts w:ascii="Calibri" w:hAnsi="Calibri" w:cs="Times New Roman"/>
          <w:sz w:val="18"/>
          <w:szCs w:val="18"/>
          <w:lang w:val="es-AR"/>
        </w:rPr>
        <w:t xml:space="preserve">Oligomerization of receptor units is often a triggering signal for activation of intracellular signaling transduction. Understanding the mechanism of regulation of the oligomerization of receptor units still requires detailed studies. Receptors are usually glycoproteins being a part of glycocalyx. Glycocalyx is composed of a negatively charged network of proteoglycans, glycoproteins, glycolipids of cell membrane and it surrounds a cell. It is known that nickel ions can interact with negatively charged sugar residues and create complexes in vitro. Interestingly, the potential role of the glycocalyx of T cells as a trap for metal ions, being a pre-step in interaction between a ligand and a receptor, has not been studied yet. </w:t>
      </w:r>
      <w:r w:rsidR="00AB5454">
        <w:rPr>
          <w:rFonts w:ascii="Calibri" w:hAnsi="Calibri" w:cs="Times New Roman"/>
          <w:sz w:val="18"/>
          <w:szCs w:val="18"/>
          <w:lang w:val="es-AR"/>
        </w:rPr>
        <w:t>The purpose of the study was to propose a discuss</w:t>
      </w:r>
      <w:r w:rsidR="009D618B">
        <w:rPr>
          <w:rFonts w:ascii="Calibri" w:hAnsi="Calibri" w:cs="Times New Roman"/>
          <w:sz w:val="18"/>
          <w:szCs w:val="18"/>
          <w:lang w:val="es-AR"/>
        </w:rPr>
        <w:t>ion</w:t>
      </w:r>
      <w:r w:rsidR="00AB5454">
        <w:rPr>
          <w:rFonts w:ascii="Calibri" w:hAnsi="Calibri" w:cs="Times New Roman"/>
          <w:sz w:val="18"/>
          <w:szCs w:val="18"/>
          <w:lang w:val="es-AR"/>
        </w:rPr>
        <w:t xml:space="preserve"> on the</w:t>
      </w:r>
      <w:r w:rsidRPr="008E1C9F">
        <w:rPr>
          <w:rFonts w:ascii="Calibri" w:hAnsi="Calibri" w:cs="Times New Roman"/>
          <w:sz w:val="18"/>
          <w:szCs w:val="18"/>
          <w:lang w:val="es-AR"/>
        </w:rPr>
        <w:t xml:space="preserve"> utility of the model of potential interaction between glycocalyx of T cells and molecules such as nickel sulfate, Derp1 of Dermatophagoides pteronyssinus (House Dust Mite) or staphylococcal enterotoxin A or B</w:t>
      </w:r>
      <w:r w:rsidR="00AB5454">
        <w:rPr>
          <w:rFonts w:ascii="Calibri" w:hAnsi="Calibri" w:cs="Times New Roman"/>
          <w:sz w:val="18"/>
          <w:szCs w:val="18"/>
          <w:lang w:val="es-AR"/>
        </w:rPr>
        <w:t xml:space="preserve"> in p</w:t>
      </w:r>
      <w:bookmarkStart w:id="0" w:name="_GoBack"/>
      <w:bookmarkEnd w:id="0"/>
      <w:r w:rsidR="00AB5454">
        <w:rPr>
          <w:rFonts w:ascii="Calibri" w:hAnsi="Calibri" w:cs="Times New Roman"/>
          <w:sz w:val="18"/>
          <w:szCs w:val="18"/>
          <w:lang w:val="es-AR"/>
        </w:rPr>
        <w:t>atients with atopic dermatitis</w:t>
      </w:r>
      <w:r w:rsidRPr="008E1C9F">
        <w:rPr>
          <w:rFonts w:ascii="Calibri" w:hAnsi="Calibri" w:cs="Times New Roman"/>
          <w:sz w:val="18"/>
          <w:szCs w:val="18"/>
          <w:lang w:val="es-AR"/>
        </w:rPr>
        <w:t xml:space="preserve">. This type of study can enable to understand if glycocalyx may act as a trap for ligands f.e. nickel in a pre-step before activation of receptor and consequently regulate oligomerization of receptor units by neutralization of the negative charge of glycocalyx. </w:t>
      </w:r>
    </w:p>
    <w:p w:rsidR="00AB5454" w:rsidRDefault="00D06BEB" w:rsidP="008E1C9F">
      <w:pPr>
        <w:jc w:val="both"/>
        <w:rPr>
          <w:rFonts w:ascii="Calibri" w:hAnsi="Calibri" w:cs="Times New Roman"/>
          <w:sz w:val="18"/>
          <w:szCs w:val="18"/>
          <w:lang w:val="es-AR"/>
        </w:rPr>
      </w:pPr>
      <w:r>
        <w:rPr>
          <w:rFonts w:ascii="Calibri" w:hAnsi="Calibri" w:cs="Times New Roman"/>
          <w:sz w:val="18"/>
          <w:szCs w:val="18"/>
          <w:lang w:val="es-AR"/>
        </w:rPr>
        <w:t xml:space="preserve">Methodology: </w:t>
      </w:r>
      <w:r w:rsidRPr="004470C6">
        <w:rPr>
          <w:rFonts w:asciiTheme="minorHAnsi" w:hAnsiTheme="minorHAnsi"/>
          <w:sz w:val="18"/>
          <w:szCs w:val="18"/>
          <w:lang w:val="es-AR"/>
        </w:rPr>
        <w:t>This model was created by comprison of cytokine  profiles (IFN-</w:t>
      </w:r>
      <w:r w:rsidRPr="004470C6">
        <w:rPr>
          <w:rFonts w:asciiTheme="minorHAnsi" w:hAnsiTheme="minorHAnsi"/>
          <w:sz w:val="18"/>
          <w:szCs w:val="18"/>
          <w:lang w:val="es-AR"/>
        </w:rPr>
        <w:sym w:font="Symbol" w:char="F067"/>
      </w:r>
      <w:r w:rsidR="00157DD7">
        <w:rPr>
          <w:rFonts w:asciiTheme="minorHAnsi" w:hAnsiTheme="minorHAnsi"/>
          <w:sz w:val="18"/>
          <w:szCs w:val="18"/>
          <w:lang w:val="es-AR"/>
        </w:rPr>
        <w:t>, IL-2, IL-13) secreted by PBMC</w:t>
      </w:r>
      <w:r w:rsidR="00505B3F">
        <w:rPr>
          <w:rFonts w:asciiTheme="minorHAnsi" w:hAnsiTheme="minorHAnsi"/>
          <w:sz w:val="18"/>
          <w:szCs w:val="18"/>
          <w:lang w:val="es-AR"/>
        </w:rPr>
        <w:t xml:space="preserve"> (peripheral blood mononuclear)</w:t>
      </w:r>
      <w:r w:rsidRPr="004470C6">
        <w:rPr>
          <w:rFonts w:asciiTheme="minorHAnsi" w:hAnsiTheme="minorHAnsi"/>
          <w:sz w:val="18"/>
          <w:szCs w:val="18"/>
          <w:lang w:val="es-AR"/>
        </w:rPr>
        <w:t xml:space="preserve"> cells  from patients with atopic dermatitis an</w:t>
      </w:r>
      <w:r w:rsidR="00157DD7">
        <w:rPr>
          <w:rFonts w:asciiTheme="minorHAnsi" w:hAnsiTheme="minorHAnsi"/>
          <w:sz w:val="18"/>
          <w:szCs w:val="18"/>
          <w:lang w:val="es-AR"/>
        </w:rPr>
        <w:t>d healthy volunteers in vitro. PBMC</w:t>
      </w:r>
      <w:r w:rsidRPr="004470C6">
        <w:rPr>
          <w:rFonts w:asciiTheme="minorHAnsi" w:hAnsiTheme="minorHAnsi"/>
          <w:sz w:val="18"/>
          <w:szCs w:val="18"/>
          <w:lang w:val="es-AR"/>
        </w:rPr>
        <w:t xml:space="preserve"> cells were stimulated with L- phytohemagluttynin able to bind to glycocalyx or other molecules unknown to interact with glycocalyx such as nickel sulfate, staphylococcal enterotoxin A or B or Derp1 in vitro. We considered each found correlation in cytokines profile secreted under L-PHA stimulation and the other molecule to understand if such molecule may </w:t>
      </w:r>
      <w:r w:rsidR="004470C6" w:rsidRPr="004470C6">
        <w:rPr>
          <w:rFonts w:asciiTheme="minorHAnsi" w:hAnsiTheme="minorHAnsi"/>
          <w:sz w:val="18"/>
          <w:szCs w:val="18"/>
          <w:lang w:val="es-AR"/>
        </w:rPr>
        <w:t>interact with glycocalyx too.</w:t>
      </w:r>
    </w:p>
    <w:p w:rsidR="00AB5454" w:rsidRPr="008E1C9F" w:rsidRDefault="00AB5454" w:rsidP="008E1C9F">
      <w:pPr>
        <w:jc w:val="both"/>
        <w:rPr>
          <w:rFonts w:ascii="Calibri" w:hAnsi="Calibri" w:cs="Times New Roman"/>
          <w:sz w:val="18"/>
          <w:szCs w:val="18"/>
          <w:lang w:val="es-AR"/>
        </w:rPr>
      </w:pPr>
      <w:r>
        <w:rPr>
          <w:rFonts w:ascii="Calibri" w:hAnsi="Calibri" w:cs="Times New Roman"/>
          <w:sz w:val="18"/>
          <w:szCs w:val="18"/>
          <w:lang w:val="es-AR"/>
        </w:rPr>
        <w:t xml:space="preserve">Findings: </w:t>
      </w:r>
      <w:r w:rsidR="00DE162E">
        <w:rPr>
          <w:rFonts w:ascii="Calibri" w:hAnsi="Calibri" w:cs="Times New Roman"/>
          <w:sz w:val="18"/>
          <w:szCs w:val="18"/>
          <w:lang w:val="es-AR"/>
        </w:rPr>
        <w:t xml:space="preserve"> </w:t>
      </w:r>
      <w:r w:rsidR="008C072E">
        <w:rPr>
          <w:rFonts w:ascii="Calibri" w:hAnsi="Calibri" w:cs="Times New Roman"/>
          <w:sz w:val="18"/>
          <w:szCs w:val="18"/>
          <w:lang w:val="es-AR"/>
        </w:rPr>
        <w:t xml:space="preserve">We found </w:t>
      </w:r>
      <w:r w:rsidR="004D3C32">
        <w:rPr>
          <w:rFonts w:ascii="Calibri" w:hAnsi="Calibri" w:cs="Times New Roman"/>
          <w:sz w:val="18"/>
          <w:szCs w:val="18"/>
          <w:lang w:val="es-AR"/>
        </w:rPr>
        <w:t>similarities in secretion of cytokines by PBMC stimulated with L-PHA and other stimulants such as nickel sulphate</w:t>
      </w:r>
      <w:r w:rsidR="00654954">
        <w:rPr>
          <w:rFonts w:ascii="Calibri" w:hAnsi="Calibri" w:cs="Times New Roman"/>
          <w:sz w:val="18"/>
          <w:szCs w:val="18"/>
          <w:lang w:val="es-AR"/>
        </w:rPr>
        <w:t xml:space="preserve"> in vitro</w:t>
      </w:r>
      <w:r w:rsidR="004D3C32">
        <w:rPr>
          <w:rFonts w:ascii="Calibri" w:hAnsi="Calibri" w:cs="Times New Roman"/>
          <w:sz w:val="18"/>
          <w:szCs w:val="18"/>
          <w:lang w:val="es-AR"/>
        </w:rPr>
        <w:t>.</w:t>
      </w:r>
    </w:p>
    <w:p w:rsidR="008E1C9F" w:rsidRPr="008E1C9F" w:rsidRDefault="00AB5454" w:rsidP="008E1C9F">
      <w:pPr>
        <w:jc w:val="both"/>
        <w:rPr>
          <w:rFonts w:ascii="Calibri" w:hAnsi="Calibri" w:cs="Times New Roman"/>
          <w:sz w:val="18"/>
          <w:szCs w:val="18"/>
          <w:lang w:val="es-AR"/>
        </w:rPr>
      </w:pPr>
      <w:r>
        <w:rPr>
          <w:rFonts w:ascii="Calibri" w:hAnsi="Calibri" w:cs="Times New Roman"/>
          <w:sz w:val="18"/>
          <w:szCs w:val="18"/>
          <w:lang w:val="es-AR"/>
        </w:rPr>
        <w:t>Conclu</w:t>
      </w:r>
      <w:r w:rsidR="00F66549">
        <w:rPr>
          <w:rFonts w:ascii="Calibri" w:hAnsi="Calibri" w:cs="Times New Roman"/>
          <w:sz w:val="18"/>
          <w:szCs w:val="18"/>
          <w:lang w:val="es-AR"/>
        </w:rPr>
        <w:t xml:space="preserve">sion and Significance: </w:t>
      </w:r>
      <w:r w:rsidR="00157DD7">
        <w:rPr>
          <w:rFonts w:ascii="Calibri" w:hAnsi="Calibri" w:cs="Times New Roman"/>
          <w:sz w:val="18"/>
          <w:szCs w:val="18"/>
          <w:lang w:val="es-AR"/>
        </w:rPr>
        <w:t>Similarities in secretion of cytokines by</w:t>
      </w:r>
      <w:r w:rsidR="00C41DA1">
        <w:rPr>
          <w:rFonts w:ascii="Calibri" w:hAnsi="Calibri" w:cs="Times New Roman"/>
          <w:sz w:val="18"/>
          <w:szCs w:val="18"/>
          <w:lang w:val="es-AR"/>
        </w:rPr>
        <w:t xml:space="preserve"> PBMC </w:t>
      </w:r>
      <w:r w:rsidR="00733FF8">
        <w:rPr>
          <w:rFonts w:ascii="Calibri" w:hAnsi="Calibri" w:cs="Times New Roman"/>
          <w:sz w:val="18"/>
          <w:szCs w:val="18"/>
          <w:lang w:val="es-AR"/>
        </w:rPr>
        <w:t>being</w:t>
      </w:r>
      <w:r w:rsidR="00F7415A">
        <w:rPr>
          <w:rFonts w:ascii="Calibri" w:hAnsi="Calibri" w:cs="Times New Roman"/>
          <w:sz w:val="18"/>
          <w:szCs w:val="18"/>
          <w:lang w:val="es-AR"/>
        </w:rPr>
        <w:t xml:space="preserve"> a result of glycocalyx activation by L-PHA and other stimulants f.e. nickel ions </w:t>
      </w:r>
      <w:r w:rsidR="00974E90">
        <w:rPr>
          <w:rFonts w:ascii="Calibri" w:hAnsi="Calibri" w:cs="Times New Roman"/>
          <w:sz w:val="18"/>
          <w:szCs w:val="18"/>
          <w:lang w:val="es-AR"/>
        </w:rPr>
        <w:t xml:space="preserve">suggest that glycocalyx may be </w:t>
      </w:r>
      <w:r w:rsidR="00ED4E70">
        <w:rPr>
          <w:rFonts w:ascii="Calibri" w:hAnsi="Calibri" w:cs="Times New Roman"/>
          <w:sz w:val="18"/>
          <w:szCs w:val="18"/>
          <w:lang w:val="es-AR"/>
        </w:rPr>
        <w:t>a pre-step before binding a ligand to the receptor</w:t>
      </w:r>
      <w:r w:rsidR="00BC27BB">
        <w:rPr>
          <w:rFonts w:ascii="Calibri" w:hAnsi="Calibri" w:cs="Times New Roman"/>
          <w:sz w:val="18"/>
          <w:szCs w:val="18"/>
          <w:lang w:val="es-AR"/>
        </w:rPr>
        <w:t>.</w:t>
      </w:r>
      <w:r w:rsidR="00ED4E70">
        <w:rPr>
          <w:rFonts w:ascii="Calibri" w:hAnsi="Calibri" w:cs="Times New Roman"/>
          <w:sz w:val="18"/>
          <w:szCs w:val="18"/>
          <w:lang w:val="es-AR"/>
        </w:rPr>
        <w:t xml:space="preserve"> Understanding a</w:t>
      </w:r>
      <w:r w:rsidR="008E1C9F" w:rsidRPr="008E1C9F">
        <w:rPr>
          <w:rFonts w:ascii="Calibri" w:hAnsi="Calibri" w:cs="Times New Roman"/>
          <w:sz w:val="18"/>
          <w:szCs w:val="18"/>
          <w:lang w:val="es-AR"/>
        </w:rPr>
        <w:t xml:space="preserve"> mechanism of interaction between a ligand and a receptor </w:t>
      </w:r>
      <w:r w:rsidR="00ED4E70">
        <w:rPr>
          <w:rFonts w:ascii="Calibri" w:hAnsi="Calibri" w:cs="Times New Roman"/>
          <w:sz w:val="18"/>
          <w:szCs w:val="18"/>
          <w:lang w:val="es-AR"/>
        </w:rPr>
        <w:t xml:space="preserve">with details </w:t>
      </w:r>
      <w:r w:rsidR="008E1C9F" w:rsidRPr="008E1C9F">
        <w:rPr>
          <w:rFonts w:ascii="Calibri" w:hAnsi="Calibri" w:cs="Times New Roman"/>
          <w:sz w:val="18"/>
          <w:szCs w:val="18"/>
          <w:lang w:val="es-AR"/>
        </w:rPr>
        <w:t xml:space="preserve">can facilitate to develop better medicines for atopic patients with nickel allergy and other allergies too. </w:t>
      </w:r>
    </w:p>
    <w:p w:rsidR="008E1C9F" w:rsidRPr="008E1C9F" w:rsidRDefault="008E1C9F" w:rsidP="008E1C9F">
      <w:pPr>
        <w:jc w:val="both"/>
        <w:rPr>
          <w:rFonts w:ascii="Calibri" w:hAnsi="Calibri" w:cs="Times New Roman"/>
          <w:sz w:val="18"/>
          <w:szCs w:val="18"/>
          <w:lang w:val="es-AR"/>
        </w:rPr>
      </w:pPr>
    </w:p>
    <w:p w:rsidR="008E1C9F" w:rsidRPr="008E1C9F" w:rsidRDefault="008E1C9F" w:rsidP="008E1C9F">
      <w:pPr>
        <w:jc w:val="both"/>
        <w:rPr>
          <w:rFonts w:ascii="Calibri" w:hAnsi="Calibri" w:cs="Times New Roman"/>
          <w:sz w:val="18"/>
          <w:szCs w:val="18"/>
          <w:lang w:val="es-AR"/>
        </w:rPr>
      </w:pPr>
      <w:r w:rsidRPr="008E1C9F">
        <w:rPr>
          <w:rFonts w:ascii="Calibri" w:hAnsi="Calibri" w:cs="Times New Roman"/>
          <w:sz w:val="18"/>
          <w:szCs w:val="18"/>
          <w:lang w:val="es-AR"/>
        </w:rPr>
        <w:t>This study was founded by the Ministry of Science and Higher Education in Poland (No. 4266/B/PO1/2010/39).</w:t>
      </w:r>
    </w:p>
    <w:p w:rsidR="008E1C9F" w:rsidRDefault="008E1C9F" w:rsidP="008E1C9F"/>
    <w:p w:rsidR="00AE3E37" w:rsidRDefault="00A9710C">
      <w:pPr>
        <w:pStyle w:val="Nagwek3"/>
        <w:spacing w:before="74"/>
      </w:pPr>
      <w:r>
        <w:rPr>
          <w:b w:val="0"/>
        </w:rPr>
        <w:br w:type="column"/>
      </w:r>
      <w:r>
        <w:rPr>
          <w:color w:val="BF5A14"/>
        </w:rPr>
        <w:t>Image</w:t>
      </w:r>
    </w:p>
    <w:p w:rsidR="008A659F" w:rsidRDefault="008A659F">
      <w:pPr>
        <w:pStyle w:val="Tekstpodstawowy"/>
        <w:spacing w:before="2"/>
        <w:rPr>
          <w:rFonts w:ascii="Arial"/>
          <w:b/>
          <w:sz w:val="16"/>
        </w:rPr>
      </w:pPr>
    </w:p>
    <w:p w:rsidR="00140090" w:rsidRDefault="00140090">
      <w:pPr>
        <w:pStyle w:val="Tekstpodstawowy"/>
        <w:spacing w:before="2"/>
        <w:rPr>
          <w:rFonts w:ascii="Arial"/>
          <w:b/>
          <w:sz w:val="16"/>
        </w:rPr>
      </w:pPr>
    </w:p>
    <w:p w:rsidR="00AE3E37" w:rsidRDefault="008A659F">
      <w:pPr>
        <w:pStyle w:val="Tekstpodstawowy"/>
        <w:spacing w:before="2"/>
        <w:rPr>
          <w:rFonts w:ascii="Arial"/>
          <w:b/>
          <w:sz w:val="16"/>
        </w:rPr>
      </w:pPr>
      <w:r>
        <w:rPr>
          <w:noProof/>
          <w:lang w:val="pl-PL" w:eastAsia="pl-PL"/>
        </w:rPr>
        <w:drawing>
          <wp:inline distT="0" distB="0" distL="0" distR="0">
            <wp:extent cx="3165475" cy="2097830"/>
            <wp:effectExtent l="0" t="0" r="0" b="0"/>
            <wp:docPr id="2" name="Obraz 2" descr="C:\Users\15-ab061nw\AppData\Local\Microsoft\Windows\INetCache\Content.Word\Figur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5-ab061nw\AppData\Local\Microsoft\Windows\INetCache\Content.Word\Figure3.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65475" cy="2097830"/>
                    </a:xfrm>
                    <a:prstGeom prst="rect">
                      <a:avLst/>
                    </a:prstGeom>
                    <a:noFill/>
                    <a:ln>
                      <a:noFill/>
                    </a:ln>
                  </pic:spPr>
                </pic:pic>
              </a:graphicData>
            </a:graphic>
          </wp:inline>
        </w:drawing>
      </w:r>
    </w:p>
    <w:p w:rsidR="00114B9E" w:rsidRPr="00142E8B" w:rsidRDefault="00114B9E" w:rsidP="00114B9E">
      <w:pPr>
        <w:jc w:val="both"/>
        <w:rPr>
          <w:bCs/>
          <w:kern w:val="36"/>
        </w:rPr>
      </w:pPr>
      <w:r w:rsidRPr="00114B9E">
        <w:rPr>
          <w:b/>
          <w:bCs/>
          <w:kern w:val="36"/>
        </w:rPr>
        <w:t>Figure 1</w:t>
      </w:r>
      <w:r w:rsidRPr="00142E8B">
        <w:rPr>
          <w:bCs/>
          <w:kern w:val="36"/>
        </w:rPr>
        <w:t xml:space="preserve">: </w:t>
      </w:r>
      <w:r>
        <w:rPr>
          <w:bCs/>
          <w:kern w:val="36"/>
        </w:rPr>
        <w:t>Theoretical model of interaction between glycocalyx, nickel ions and TCRs</w:t>
      </w:r>
    </w:p>
    <w:p w:rsidR="00140090" w:rsidRDefault="005973B9" w:rsidP="005973B9">
      <w:pPr>
        <w:spacing w:line="204" w:lineRule="exact"/>
        <w:rPr>
          <w:rFonts w:ascii="Arial"/>
          <w:b/>
          <w:color w:val="BF5A14"/>
          <w:sz w:val="20"/>
        </w:rPr>
      </w:pPr>
      <w:r>
        <w:rPr>
          <w:rFonts w:ascii="Arial"/>
          <w:b/>
          <w:color w:val="BF5A14"/>
          <w:sz w:val="20"/>
        </w:rPr>
        <w:br/>
      </w:r>
    </w:p>
    <w:p w:rsidR="005973B9" w:rsidRDefault="005973B9" w:rsidP="005973B9">
      <w:pPr>
        <w:spacing w:line="204" w:lineRule="exact"/>
        <w:rPr>
          <w:rFonts w:ascii="Arial"/>
          <w:b/>
          <w:sz w:val="20"/>
        </w:rPr>
      </w:pPr>
      <w:r>
        <w:rPr>
          <w:rFonts w:ascii="Arial"/>
          <w:b/>
          <w:color w:val="BF5A14"/>
          <w:sz w:val="20"/>
        </w:rPr>
        <w:t>Recent Publications (minimum 5)</w:t>
      </w:r>
    </w:p>
    <w:p w:rsidR="002865B5" w:rsidRDefault="002865B5" w:rsidP="002865B5">
      <w:pPr>
        <w:pStyle w:val="Akapitzlist"/>
        <w:numPr>
          <w:ilvl w:val="0"/>
          <w:numId w:val="3"/>
        </w:numPr>
        <w:tabs>
          <w:tab w:val="left" w:pos="384"/>
        </w:tabs>
        <w:spacing w:before="103" w:line="216" w:lineRule="exact"/>
        <w:ind w:right="138" w:hanging="283"/>
        <w:rPr>
          <w:sz w:val="18"/>
          <w:szCs w:val="18"/>
        </w:rPr>
      </w:pPr>
      <w:r w:rsidRPr="00D11D98">
        <w:rPr>
          <w:sz w:val="18"/>
          <w:szCs w:val="18"/>
        </w:rPr>
        <w:t xml:space="preserve">Sakuma K, </w:t>
      </w:r>
      <w:proofErr w:type="spellStart"/>
      <w:r w:rsidRPr="00D11D98">
        <w:rPr>
          <w:sz w:val="18"/>
          <w:szCs w:val="18"/>
        </w:rPr>
        <w:t>Furuhashi</w:t>
      </w:r>
      <w:proofErr w:type="spellEnd"/>
      <w:r w:rsidRPr="00D11D98">
        <w:rPr>
          <w:sz w:val="18"/>
          <w:szCs w:val="18"/>
        </w:rPr>
        <w:t xml:space="preserve"> T, Kondo S, Yabe U, </w:t>
      </w:r>
      <w:proofErr w:type="spellStart"/>
      <w:r w:rsidRPr="00D11D98">
        <w:rPr>
          <w:sz w:val="18"/>
          <w:szCs w:val="18"/>
        </w:rPr>
        <w:t>Ohmori</w:t>
      </w:r>
      <w:proofErr w:type="spellEnd"/>
      <w:r w:rsidRPr="00D11D98">
        <w:rPr>
          <w:sz w:val="18"/>
          <w:szCs w:val="18"/>
        </w:rPr>
        <w:t xml:space="preserve"> K, Ito H, et al (2012). </w:t>
      </w:r>
      <w:r w:rsidRPr="00D11D98">
        <w:rPr>
          <w:rStyle w:val="highlight2"/>
          <w:sz w:val="18"/>
          <w:szCs w:val="18"/>
        </w:rPr>
        <w:t>Sialic acid cyclization</w:t>
      </w:r>
      <w:r w:rsidRPr="00D11D98">
        <w:rPr>
          <w:sz w:val="18"/>
          <w:szCs w:val="18"/>
        </w:rPr>
        <w:t xml:space="preserve"> of </w:t>
      </w:r>
      <w:r w:rsidRPr="00D11D98">
        <w:rPr>
          <w:rStyle w:val="highlight2"/>
          <w:sz w:val="18"/>
          <w:szCs w:val="18"/>
        </w:rPr>
        <w:t>human Th homing receptor glycan associated</w:t>
      </w:r>
      <w:r w:rsidRPr="00D11D98">
        <w:rPr>
          <w:sz w:val="18"/>
          <w:szCs w:val="18"/>
        </w:rPr>
        <w:t xml:space="preserve"> with </w:t>
      </w:r>
      <w:r w:rsidRPr="00D11D98">
        <w:rPr>
          <w:rStyle w:val="highlight2"/>
          <w:sz w:val="18"/>
          <w:szCs w:val="18"/>
        </w:rPr>
        <w:t>recurrent exacerbations</w:t>
      </w:r>
      <w:r w:rsidRPr="00D11D98">
        <w:rPr>
          <w:sz w:val="18"/>
          <w:szCs w:val="18"/>
        </w:rPr>
        <w:t xml:space="preserve"> of </w:t>
      </w:r>
      <w:r w:rsidRPr="00D11D98">
        <w:rPr>
          <w:rStyle w:val="highlight2"/>
          <w:sz w:val="18"/>
          <w:szCs w:val="18"/>
        </w:rPr>
        <w:t>atopic dermatitis</w:t>
      </w:r>
      <w:r w:rsidRPr="00D11D98">
        <w:rPr>
          <w:sz w:val="18"/>
          <w:szCs w:val="18"/>
        </w:rPr>
        <w:t xml:space="preserve">. J </w:t>
      </w:r>
      <w:proofErr w:type="spellStart"/>
      <w:r w:rsidRPr="00D11D98">
        <w:rPr>
          <w:sz w:val="18"/>
          <w:szCs w:val="18"/>
        </w:rPr>
        <w:t>Dermatol</w:t>
      </w:r>
      <w:proofErr w:type="spellEnd"/>
      <w:r w:rsidRPr="00D11D98">
        <w:rPr>
          <w:sz w:val="18"/>
          <w:szCs w:val="18"/>
        </w:rPr>
        <w:t xml:space="preserve"> Sci: 68(3): 187-193.</w:t>
      </w:r>
    </w:p>
    <w:p w:rsidR="002865B5" w:rsidRPr="00E62081" w:rsidRDefault="002865B5" w:rsidP="002865B5">
      <w:pPr>
        <w:pStyle w:val="Akapitzlist"/>
        <w:numPr>
          <w:ilvl w:val="0"/>
          <w:numId w:val="3"/>
        </w:numPr>
        <w:tabs>
          <w:tab w:val="left" w:pos="384"/>
        </w:tabs>
        <w:spacing w:line="216" w:lineRule="exact"/>
        <w:ind w:right="138" w:hanging="283"/>
        <w:rPr>
          <w:sz w:val="18"/>
          <w:szCs w:val="18"/>
        </w:rPr>
      </w:pPr>
      <w:r w:rsidRPr="00E62081">
        <w:rPr>
          <w:sz w:val="18"/>
          <w:szCs w:val="18"/>
        </w:rPr>
        <w:t xml:space="preserve">Saito M, Arakaki R, Yamada A, </w:t>
      </w:r>
      <w:proofErr w:type="spellStart"/>
      <w:r w:rsidRPr="00E62081">
        <w:rPr>
          <w:sz w:val="18"/>
          <w:szCs w:val="18"/>
        </w:rPr>
        <w:t>Tsunematsu</w:t>
      </w:r>
      <w:proofErr w:type="spellEnd"/>
      <w:r w:rsidRPr="00E62081">
        <w:rPr>
          <w:sz w:val="18"/>
          <w:szCs w:val="18"/>
        </w:rPr>
        <w:t xml:space="preserve"> T, Kudo Y, </w:t>
      </w:r>
      <w:proofErr w:type="spellStart"/>
      <w:r w:rsidRPr="00E62081">
        <w:rPr>
          <w:sz w:val="18"/>
          <w:szCs w:val="18"/>
        </w:rPr>
        <w:t>Ishimaru</w:t>
      </w:r>
      <w:proofErr w:type="spellEnd"/>
      <w:r w:rsidRPr="00E62081">
        <w:rPr>
          <w:sz w:val="18"/>
          <w:szCs w:val="18"/>
        </w:rPr>
        <w:t xml:space="preserve"> N (2016). Molecular Mechanisms of Nickel Allergy. </w:t>
      </w:r>
      <w:proofErr w:type="spellStart"/>
      <w:r w:rsidRPr="00E62081">
        <w:rPr>
          <w:sz w:val="18"/>
          <w:szCs w:val="18"/>
        </w:rPr>
        <w:t>Int</w:t>
      </w:r>
      <w:proofErr w:type="spellEnd"/>
      <w:r w:rsidRPr="00E62081">
        <w:rPr>
          <w:sz w:val="18"/>
          <w:szCs w:val="18"/>
        </w:rPr>
        <w:t xml:space="preserve"> J </w:t>
      </w:r>
      <w:proofErr w:type="spellStart"/>
      <w:r w:rsidRPr="00E62081">
        <w:rPr>
          <w:sz w:val="18"/>
          <w:szCs w:val="18"/>
        </w:rPr>
        <w:t>Mol</w:t>
      </w:r>
      <w:proofErr w:type="spellEnd"/>
      <w:r w:rsidRPr="00E62081">
        <w:rPr>
          <w:sz w:val="18"/>
          <w:szCs w:val="18"/>
        </w:rPr>
        <w:t xml:space="preserve"> Sci. 17: 1-8.</w:t>
      </w:r>
    </w:p>
    <w:p w:rsidR="002865B5" w:rsidRDefault="002865B5" w:rsidP="002865B5">
      <w:pPr>
        <w:pStyle w:val="Akapitzlist"/>
        <w:numPr>
          <w:ilvl w:val="0"/>
          <w:numId w:val="3"/>
        </w:numPr>
        <w:tabs>
          <w:tab w:val="left" w:pos="384"/>
        </w:tabs>
        <w:spacing w:line="216" w:lineRule="exact"/>
        <w:ind w:right="138" w:hanging="283"/>
        <w:rPr>
          <w:sz w:val="18"/>
          <w:szCs w:val="18"/>
        </w:rPr>
      </w:pPr>
      <w:r w:rsidRPr="000F5F27">
        <w:rPr>
          <w:sz w:val="18"/>
          <w:szCs w:val="18"/>
        </w:rPr>
        <w:t>Shigenobu Y (1998). Intelligent metal complexes containing N-glycosides formed from Tris(2-aminoethyl)amine and aldoses, having molecular recognition ability. Chinese Journal of Polymer Science 16(3):193-206</w:t>
      </w:r>
    </w:p>
    <w:p w:rsidR="002865B5" w:rsidRPr="00544874" w:rsidRDefault="002865B5" w:rsidP="002865B5">
      <w:pPr>
        <w:pStyle w:val="Akapitzlist"/>
        <w:numPr>
          <w:ilvl w:val="0"/>
          <w:numId w:val="3"/>
        </w:numPr>
        <w:tabs>
          <w:tab w:val="left" w:pos="384"/>
        </w:tabs>
        <w:spacing w:line="216" w:lineRule="exact"/>
        <w:ind w:right="138" w:hanging="283"/>
        <w:rPr>
          <w:sz w:val="18"/>
          <w:szCs w:val="18"/>
        </w:rPr>
      </w:pPr>
      <w:proofErr w:type="spellStart"/>
      <w:r w:rsidRPr="00544874">
        <w:rPr>
          <w:sz w:val="18"/>
          <w:szCs w:val="18"/>
        </w:rPr>
        <w:t>Reddad</w:t>
      </w:r>
      <w:proofErr w:type="spellEnd"/>
      <w:r w:rsidRPr="00544874">
        <w:rPr>
          <w:sz w:val="18"/>
          <w:szCs w:val="18"/>
        </w:rPr>
        <w:t xml:space="preserve"> Z, </w:t>
      </w:r>
      <w:proofErr w:type="spellStart"/>
      <w:r w:rsidRPr="00544874">
        <w:rPr>
          <w:sz w:val="18"/>
          <w:szCs w:val="18"/>
        </w:rPr>
        <w:t>Gerente</w:t>
      </w:r>
      <w:proofErr w:type="spellEnd"/>
      <w:r w:rsidRPr="00544874">
        <w:rPr>
          <w:sz w:val="18"/>
          <w:szCs w:val="18"/>
        </w:rPr>
        <w:t xml:space="preserve"> C, Andres Y, </w:t>
      </w:r>
      <w:proofErr w:type="spellStart"/>
      <w:r w:rsidRPr="00544874">
        <w:rPr>
          <w:sz w:val="18"/>
          <w:szCs w:val="18"/>
        </w:rPr>
        <w:t>Ralet</w:t>
      </w:r>
      <w:proofErr w:type="spellEnd"/>
      <w:r w:rsidRPr="00544874">
        <w:rPr>
          <w:sz w:val="18"/>
          <w:szCs w:val="18"/>
        </w:rPr>
        <w:t xml:space="preserve"> M-C, Thibault J-F, Le </w:t>
      </w:r>
      <w:proofErr w:type="spellStart"/>
      <w:r w:rsidRPr="00544874">
        <w:rPr>
          <w:sz w:val="18"/>
          <w:szCs w:val="18"/>
        </w:rPr>
        <w:t>Cloirec</w:t>
      </w:r>
      <w:proofErr w:type="spellEnd"/>
      <w:r w:rsidRPr="00544874">
        <w:rPr>
          <w:sz w:val="18"/>
          <w:szCs w:val="18"/>
        </w:rPr>
        <w:t xml:space="preserve"> P (2002). Ni(II) and Cu(II) binding properties of native and modified sugar beet pulp. Carbohydrate Polymers 49(1): 23-318.</w:t>
      </w:r>
    </w:p>
    <w:p w:rsidR="002865B5" w:rsidRPr="004D28C8" w:rsidRDefault="002865B5" w:rsidP="002865B5">
      <w:pPr>
        <w:pStyle w:val="Akapitzlist"/>
        <w:numPr>
          <w:ilvl w:val="0"/>
          <w:numId w:val="3"/>
        </w:numPr>
        <w:tabs>
          <w:tab w:val="left" w:pos="384"/>
        </w:tabs>
        <w:spacing w:line="216" w:lineRule="exact"/>
        <w:ind w:right="138" w:hanging="283"/>
        <w:rPr>
          <w:sz w:val="18"/>
          <w:szCs w:val="18"/>
        </w:rPr>
      </w:pPr>
      <w:proofErr w:type="spellStart"/>
      <w:r w:rsidRPr="004D28C8">
        <w:rPr>
          <w:sz w:val="18"/>
          <w:szCs w:val="18"/>
        </w:rPr>
        <w:t>Raghavan</w:t>
      </w:r>
      <w:proofErr w:type="spellEnd"/>
      <w:r w:rsidRPr="004D28C8">
        <w:rPr>
          <w:sz w:val="18"/>
          <w:szCs w:val="18"/>
        </w:rPr>
        <w:t xml:space="preserve"> B, Martin SF, </w:t>
      </w:r>
      <w:proofErr w:type="spellStart"/>
      <w:r w:rsidRPr="004D28C8">
        <w:rPr>
          <w:sz w:val="18"/>
          <w:szCs w:val="18"/>
        </w:rPr>
        <w:t>Esser</w:t>
      </w:r>
      <w:proofErr w:type="spellEnd"/>
      <w:r w:rsidRPr="004D28C8">
        <w:rPr>
          <w:sz w:val="18"/>
          <w:szCs w:val="18"/>
        </w:rPr>
        <w:t xml:space="preserve"> PR, </w:t>
      </w:r>
      <w:proofErr w:type="spellStart"/>
      <w:r w:rsidRPr="004D28C8">
        <w:rPr>
          <w:sz w:val="18"/>
          <w:szCs w:val="18"/>
        </w:rPr>
        <w:t>Goebeler</w:t>
      </w:r>
      <w:proofErr w:type="spellEnd"/>
      <w:r w:rsidRPr="004D28C8">
        <w:rPr>
          <w:sz w:val="18"/>
          <w:szCs w:val="18"/>
        </w:rPr>
        <w:t xml:space="preserve"> M, Schmidt M (2012). </w:t>
      </w:r>
      <w:r w:rsidRPr="004D28C8">
        <w:rPr>
          <w:bCs/>
          <w:sz w:val="18"/>
          <w:szCs w:val="18"/>
        </w:rPr>
        <w:t>Metal allergens nickel and cobalt facilitate TLR4 homodimerization independently of MD2. EMBO Rep. 13(12): 1109-15</w:t>
      </w:r>
      <w:r>
        <w:rPr>
          <w:sz w:val="18"/>
          <w:szCs w:val="18"/>
        </w:rPr>
        <w:t>23.</w:t>
      </w:r>
    </w:p>
    <w:p w:rsidR="002865B5" w:rsidRDefault="002865B5" w:rsidP="002865B5">
      <w:pPr>
        <w:pStyle w:val="Tekstpodstawowy"/>
        <w:numPr>
          <w:ilvl w:val="0"/>
          <w:numId w:val="3"/>
        </w:numPr>
        <w:spacing w:line="218" w:lineRule="exact"/>
        <w:rPr>
          <w:rFonts w:ascii="Calibri"/>
        </w:rPr>
      </w:pPr>
      <w:r w:rsidRPr="00D0663E">
        <w:t xml:space="preserve">Wang JH, </w:t>
      </w:r>
      <w:proofErr w:type="spellStart"/>
      <w:r w:rsidRPr="00D0663E">
        <w:t>Reinhe</w:t>
      </w:r>
      <w:r w:rsidRPr="002A37D2">
        <w:t>rz</w:t>
      </w:r>
      <w:proofErr w:type="spellEnd"/>
      <w:r w:rsidRPr="002A37D2">
        <w:t xml:space="preserve"> EL</w:t>
      </w:r>
      <w:r>
        <w:t xml:space="preserve"> </w:t>
      </w:r>
      <w:r>
        <w:rPr>
          <w:rStyle w:val="highlight2"/>
        </w:rPr>
        <w:t>(2013)</w:t>
      </w:r>
      <w:r w:rsidRPr="002A37D2">
        <w:t xml:space="preserve">. </w:t>
      </w:r>
      <w:r w:rsidRPr="002A37D2">
        <w:rPr>
          <w:rStyle w:val="highlight2"/>
        </w:rPr>
        <w:t>Revisiting</w:t>
      </w:r>
      <w:r w:rsidRPr="002A37D2">
        <w:t xml:space="preserve"> the </w:t>
      </w:r>
      <w:r w:rsidRPr="002A37D2">
        <w:rPr>
          <w:rStyle w:val="highlight2"/>
        </w:rPr>
        <w:t>putative TCR</w:t>
      </w:r>
      <w:r w:rsidRPr="002A37D2">
        <w:t xml:space="preserve"> Cα </w:t>
      </w:r>
      <w:r w:rsidRPr="002A37D2">
        <w:rPr>
          <w:rStyle w:val="highlight2"/>
        </w:rPr>
        <w:t>dimerization model</w:t>
      </w:r>
      <w:r w:rsidRPr="002A37D2">
        <w:t xml:space="preserve"> through </w:t>
      </w:r>
      <w:r w:rsidRPr="002A37D2">
        <w:rPr>
          <w:rStyle w:val="highlight2"/>
        </w:rPr>
        <w:t>structural analysis</w:t>
      </w:r>
      <w:r w:rsidRPr="002A37D2">
        <w:t xml:space="preserve">. Front </w:t>
      </w:r>
      <w:proofErr w:type="spellStart"/>
      <w:r w:rsidRPr="002A37D2">
        <w:t>Immunol</w:t>
      </w:r>
      <w:proofErr w:type="spellEnd"/>
      <w:r w:rsidRPr="002A37D2">
        <w:t xml:space="preserve"> 4(16): </w:t>
      </w:r>
      <w:r w:rsidRPr="00823385">
        <w:t>1-6</w:t>
      </w:r>
    </w:p>
    <w:p w:rsidR="002865B5" w:rsidRDefault="002865B5" w:rsidP="002865B5">
      <w:pPr>
        <w:pStyle w:val="Tekstpodstawowy"/>
        <w:numPr>
          <w:ilvl w:val="0"/>
          <w:numId w:val="3"/>
        </w:numPr>
        <w:spacing w:line="218" w:lineRule="exact"/>
        <w:rPr>
          <w:rFonts w:ascii="Calibri"/>
        </w:rPr>
      </w:pPr>
      <w:proofErr w:type="spellStart"/>
      <w:r w:rsidRPr="00823385">
        <w:t>Devuyst</w:t>
      </w:r>
      <w:proofErr w:type="spellEnd"/>
      <w:r w:rsidRPr="00823385">
        <w:t xml:space="preserve"> O</w:t>
      </w:r>
      <w:r>
        <w:t xml:space="preserve"> (2014)</w:t>
      </w:r>
      <w:r w:rsidRPr="00823385">
        <w:t xml:space="preserve">. Glycocalyx: the fuzzy coat now regulates cell signaling. </w:t>
      </w:r>
      <w:proofErr w:type="spellStart"/>
      <w:r w:rsidRPr="00823385">
        <w:t>Perit</w:t>
      </w:r>
      <w:proofErr w:type="spellEnd"/>
      <w:r w:rsidRPr="00823385">
        <w:t xml:space="preserve"> Dial Int;34(6): 574-</w:t>
      </w:r>
      <w:r>
        <w:t>57</w:t>
      </w:r>
      <w:r w:rsidRPr="00823385">
        <w:t>5.</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Tekstpodstawowy"/>
        <w:rPr>
          <w:rFonts w:ascii="Calibri"/>
          <w:sz w:val="20"/>
        </w:rPr>
      </w:pPr>
    </w:p>
    <w:p w:rsidR="00AE3E37" w:rsidRDefault="00292ED9">
      <w:pPr>
        <w:pStyle w:val="Tekstpodstawowy"/>
        <w:spacing w:line="40" w:lineRule="exact"/>
        <w:ind w:left="2202"/>
        <w:rPr>
          <w:rFonts w:ascii="Calibri"/>
          <w:sz w:val="4"/>
        </w:rPr>
      </w:pPr>
      <w:r>
        <w:rPr>
          <w:rFonts w:ascii="Calibri"/>
          <w:noProof/>
          <w:sz w:val="4"/>
          <w:lang w:val="pl-PL" w:eastAsia="pl-PL"/>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C844CA7"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1A5FE3">
        <w:rPr>
          <w:noProof/>
          <w:lang w:val="pl-PL" w:eastAsia="pl-PL"/>
        </w:rPr>
        <w:drawing>
          <wp:inline distT="0" distB="0" distL="0" distR="0" wp14:anchorId="1340993F" wp14:editId="3043BBC3">
            <wp:extent cx="402831" cy="606544"/>
            <wp:effectExtent l="0" t="0" r="0" b="3175"/>
            <wp:docPr id="1" name="Obraz 1" descr="C:\Users\15-ab061nw\AppData\Local\Microsoft\Windows\INetCache\Content.Word\f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5-ab061nw\AppData\Local\Microsoft\Windows\INetCache\Content.Word\final.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06086" cy="611445"/>
                    </a:xfrm>
                    <a:prstGeom prst="rect">
                      <a:avLst/>
                    </a:prstGeom>
                    <a:noFill/>
                    <a:ln>
                      <a:noFill/>
                    </a:ln>
                  </pic:spPr>
                </pic:pic>
              </a:graphicData>
            </a:graphic>
          </wp:inline>
        </w:drawing>
      </w:r>
      <w:r>
        <w:rPr>
          <w:noProof/>
        </w:rPr>
        <w:t xml:space="preserve">            </w:t>
      </w:r>
    </w:p>
    <w:p w:rsidR="00505B3F" w:rsidRPr="00C319A0" w:rsidRDefault="00505B3F" w:rsidP="00505B3F">
      <w:pPr>
        <w:pStyle w:val="Tekstpodstawowy"/>
        <w:spacing w:before="3"/>
        <w:jc w:val="both"/>
        <w:rPr>
          <w:rFonts w:ascii="Arial" w:hAnsi="Arial" w:cs="Arial"/>
          <w:sz w:val="14"/>
          <w:szCs w:val="14"/>
        </w:rPr>
      </w:pPr>
      <w:r w:rsidRPr="00C319A0">
        <w:rPr>
          <w:rFonts w:ascii="Arial" w:hAnsi="Arial" w:cs="Arial"/>
          <w:color w:val="333333"/>
          <w:sz w:val="14"/>
          <w:szCs w:val="14"/>
          <w:lang w:val="en"/>
        </w:rPr>
        <w:t xml:space="preserve">Anna Magdalena Bogdali graduated with her Master’s degree at the Department of Biochemistry, Biophysics and Biotechnology of Jagiellonian University in Krakow. She completed her PhD on Atopic Dermatitis from Jagiellonian University Medical College in Medical Biology. She participated in the Socrates/Erasmus and 6th and 7th Framework European Programs. She stayed in the Angioedema Hungarian Center at the </w:t>
      </w:r>
      <w:proofErr w:type="spellStart"/>
      <w:r w:rsidRPr="00C319A0">
        <w:rPr>
          <w:rFonts w:ascii="Arial" w:hAnsi="Arial" w:cs="Arial"/>
          <w:color w:val="333333"/>
          <w:sz w:val="14"/>
          <w:szCs w:val="14"/>
          <w:lang w:val="en"/>
        </w:rPr>
        <w:t>Semmelweis</w:t>
      </w:r>
      <w:proofErr w:type="spellEnd"/>
      <w:r w:rsidRPr="00C319A0">
        <w:rPr>
          <w:rFonts w:ascii="Arial" w:hAnsi="Arial" w:cs="Arial"/>
          <w:color w:val="333333"/>
          <w:sz w:val="14"/>
          <w:szCs w:val="14"/>
          <w:lang w:val="en"/>
        </w:rPr>
        <w:t xml:space="preserve"> University in Budapest and she is involved in projects on hereditary angioedema concerning genetic background and immune mechanisms at the Jagiellonian University Medical College in Krakow. Her interests are immune and genetics mechanisms mostly related to T cells in the skin and circulatory system.</w:t>
      </w:r>
    </w:p>
    <w:p w:rsidR="00AE3E37" w:rsidRDefault="00A9710C">
      <w:pPr>
        <w:spacing w:before="41" w:line="154" w:lineRule="exact"/>
        <w:ind w:left="213" w:right="231"/>
        <w:jc w:val="both"/>
        <w:rPr>
          <w:rFonts w:ascii="Arial"/>
          <w:sz w:val="14"/>
        </w:rPr>
      </w:pPr>
      <w:r>
        <w:rPr>
          <w:rFonts w:ascii="Arial"/>
          <w:sz w:val="14"/>
        </w:rPr>
        <w:t>.</w:t>
      </w:r>
    </w:p>
    <w:p w:rsidR="00AE3E37" w:rsidRDefault="00A9710C">
      <w:pPr>
        <w:spacing w:before="62"/>
        <w:ind w:left="4217" w:right="4235"/>
        <w:jc w:val="center"/>
        <w:rPr>
          <w:rFonts w:ascii="Arial"/>
          <w:sz w:val="14"/>
        </w:rPr>
      </w:pPr>
      <w:r>
        <w:rPr>
          <w:rFonts w:ascii="Arial"/>
          <w:sz w:val="14"/>
        </w:rPr>
        <w:t xml:space="preserve">Email: </w:t>
      </w:r>
      <w:hyperlink r:id="rId11" w:history="1">
        <w:r w:rsidR="003020D2" w:rsidRPr="00906513">
          <w:rPr>
            <w:rStyle w:val="Hipercze"/>
            <w:rFonts w:ascii="Arial"/>
            <w:sz w:val="14"/>
          </w:rPr>
          <w:t>anna.bogdali@gmail.com</w:t>
        </w:r>
      </w:hyperlink>
    </w:p>
    <w:p w:rsidR="00AE3E37" w:rsidRDefault="00292ED9">
      <w:pPr>
        <w:pStyle w:val="Tekstpodstawowy"/>
        <w:spacing w:before="2"/>
        <w:rPr>
          <w:rFonts w:ascii="Arial"/>
          <w:sz w:val="19"/>
        </w:rPr>
      </w:pPr>
      <w:r>
        <w:rPr>
          <w:noProof/>
          <w:lang w:val="pl-PL" w:eastAsia="pl-PL"/>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92B9C0"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Tekstpodstawowy"/>
        <w:rPr>
          <w:rFonts w:ascii="Arial"/>
          <w:sz w:val="20"/>
        </w:rPr>
      </w:pPr>
    </w:p>
    <w:p w:rsidR="00AE3E37" w:rsidRDefault="00AE3E37">
      <w:pPr>
        <w:pStyle w:val="Tekstpodstawowy"/>
        <w:rPr>
          <w:rFonts w:ascii="Arial"/>
          <w:sz w:val="20"/>
        </w:rPr>
      </w:pPr>
    </w:p>
    <w:p w:rsidR="00AE3E37" w:rsidRDefault="00AE3E37">
      <w:pPr>
        <w:pStyle w:val="Tekstpodstawowy"/>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Tekstpodstawowy"/>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139B" w:rsidRDefault="00E8139B">
      <w:r>
        <w:separator/>
      </w:r>
    </w:p>
  </w:endnote>
  <w:endnote w:type="continuationSeparator" w:id="0">
    <w:p w:rsidR="00E8139B" w:rsidRDefault="00E813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Tw Cen MT">
    <w:altName w:val="Calibri"/>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EE"/>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Tekstpodstawowy"/>
      <w:spacing w:line="14" w:lineRule="auto"/>
      <w:rPr>
        <w:sz w:val="20"/>
      </w:rPr>
    </w:pPr>
    <w:r>
      <w:rPr>
        <w:noProof/>
        <w:lang w:val="pl-PL" w:eastAsia="pl-PL"/>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pl-PL" w:eastAsia="pl-PL"/>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pl-PL" w:eastAsia="pl-PL"/>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139B" w:rsidRDefault="00E8139B">
      <w:r>
        <w:separator/>
      </w:r>
    </w:p>
  </w:footnote>
  <w:footnote w:type="continuationSeparator" w:id="0">
    <w:p w:rsidR="00E8139B" w:rsidRDefault="00E813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Tekstpodstawowy"/>
      <w:spacing w:line="14" w:lineRule="auto"/>
      <w:rPr>
        <w:sz w:val="20"/>
      </w:rPr>
    </w:pPr>
    <w:r>
      <w:rPr>
        <w:noProof/>
        <w:lang w:val="pl-PL" w:eastAsia="pl-PL"/>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pl-PL" w:eastAsia="pl-PL"/>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Tekstpodstawowy"/>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Tekstpodstawowy"/>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0F1D9E"/>
    <w:rsid w:val="000F5F27"/>
    <w:rsid w:val="00114B9E"/>
    <w:rsid w:val="001263DF"/>
    <w:rsid w:val="00140090"/>
    <w:rsid w:val="00157DD7"/>
    <w:rsid w:val="001A5FE3"/>
    <w:rsid w:val="002035C3"/>
    <w:rsid w:val="002865B5"/>
    <w:rsid w:val="00292ED9"/>
    <w:rsid w:val="002B7BC8"/>
    <w:rsid w:val="003020D2"/>
    <w:rsid w:val="003B21CC"/>
    <w:rsid w:val="00404E5B"/>
    <w:rsid w:val="004065E1"/>
    <w:rsid w:val="00414F7B"/>
    <w:rsid w:val="00425C14"/>
    <w:rsid w:val="004355DC"/>
    <w:rsid w:val="004470C6"/>
    <w:rsid w:val="004749B4"/>
    <w:rsid w:val="00486F52"/>
    <w:rsid w:val="00494130"/>
    <w:rsid w:val="004D28C8"/>
    <w:rsid w:val="004D3C32"/>
    <w:rsid w:val="004F3523"/>
    <w:rsid w:val="00505B3F"/>
    <w:rsid w:val="00544874"/>
    <w:rsid w:val="005973B9"/>
    <w:rsid w:val="005B3A56"/>
    <w:rsid w:val="005E35F2"/>
    <w:rsid w:val="006060CE"/>
    <w:rsid w:val="00624AAA"/>
    <w:rsid w:val="0063497F"/>
    <w:rsid w:val="00654954"/>
    <w:rsid w:val="00700E27"/>
    <w:rsid w:val="00733FF8"/>
    <w:rsid w:val="00771CB8"/>
    <w:rsid w:val="0086210A"/>
    <w:rsid w:val="00873DF0"/>
    <w:rsid w:val="008756E6"/>
    <w:rsid w:val="008A659F"/>
    <w:rsid w:val="008C072E"/>
    <w:rsid w:val="008E1C9F"/>
    <w:rsid w:val="008E6675"/>
    <w:rsid w:val="00967208"/>
    <w:rsid w:val="00974E90"/>
    <w:rsid w:val="009B2D44"/>
    <w:rsid w:val="009D618B"/>
    <w:rsid w:val="00A07E82"/>
    <w:rsid w:val="00A9710C"/>
    <w:rsid w:val="00AA447C"/>
    <w:rsid w:val="00AB5454"/>
    <w:rsid w:val="00AE3E37"/>
    <w:rsid w:val="00B21A57"/>
    <w:rsid w:val="00B41CB9"/>
    <w:rsid w:val="00BC27BB"/>
    <w:rsid w:val="00C33602"/>
    <w:rsid w:val="00C41DA1"/>
    <w:rsid w:val="00CD6F55"/>
    <w:rsid w:val="00D06BEB"/>
    <w:rsid w:val="00DB52D3"/>
    <w:rsid w:val="00DE162E"/>
    <w:rsid w:val="00DE3104"/>
    <w:rsid w:val="00E217D1"/>
    <w:rsid w:val="00E62081"/>
    <w:rsid w:val="00E8139B"/>
    <w:rsid w:val="00EB5EE1"/>
    <w:rsid w:val="00ED4E70"/>
    <w:rsid w:val="00F034BF"/>
    <w:rsid w:val="00F057E6"/>
    <w:rsid w:val="00F66549"/>
    <w:rsid w:val="00F72EEA"/>
    <w:rsid w:val="00F7415A"/>
    <w:rsid w:val="00F84CAE"/>
    <w:rsid w:val="00F86F7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70F80C"/>
  <w15:docId w15:val="{39B81CF8-1D83-467E-B901-6605342A8A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ny">
    <w:name w:val="Normal"/>
    <w:uiPriority w:val="1"/>
    <w:qFormat/>
    <w:rsid w:val="00CD6F55"/>
    <w:rPr>
      <w:rFonts w:ascii="Tw Cen MT" w:eastAsia="Tw Cen MT" w:hAnsi="Tw Cen MT" w:cs="Tw Cen MT"/>
    </w:rPr>
  </w:style>
  <w:style w:type="paragraph" w:styleId="Nagwek1">
    <w:name w:val="heading 1"/>
    <w:basedOn w:val="Normalny"/>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Nagwek2">
    <w:name w:val="heading 2"/>
    <w:basedOn w:val="Normalny"/>
    <w:uiPriority w:val="1"/>
    <w:qFormat/>
    <w:rsid w:val="00CD6F55"/>
    <w:pPr>
      <w:ind w:left="100"/>
      <w:outlineLvl w:val="1"/>
    </w:pPr>
    <w:rPr>
      <w:rFonts w:ascii="Minion Pro" w:eastAsia="Minion Pro" w:hAnsi="Minion Pro" w:cs="Minion Pro"/>
      <w:sz w:val="24"/>
      <w:szCs w:val="24"/>
    </w:rPr>
  </w:style>
  <w:style w:type="paragraph" w:styleId="Nagwek3">
    <w:name w:val="heading 3"/>
    <w:basedOn w:val="Normalny"/>
    <w:uiPriority w:val="1"/>
    <w:qFormat/>
    <w:rsid w:val="00CD6F55"/>
    <w:pPr>
      <w:ind w:left="100"/>
      <w:outlineLvl w:val="2"/>
    </w:pPr>
    <w:rPr>
      <w:rFonts w:ascii="Arial" w:eastAsia="Arial" w:hAnsi="Arial" w:cs="Arial"/>
      <w:b/>
      <w:bCs/>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uiPriority w:val="1"/>
    <w:qFormat/>
    <w:rsid w:val="00CD6F55"/>
    <w:rPr>
      <w:sz w:val="18"/>
      <w:szCs w:val="18"/>
    </w:rPr>
  </w:style>
  <w:style w:type="paragraph" w:styleId="Akapitzlist">
    <w:name w:val="List Paragraph"/>
    <w:basedOn w:val="Normalny"/>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ny"/>
    <w:uiPriority w:val="1"/>
    <w:qFormat/>
    <w:rsid w:val="00CD6F55"/>
  </w:style>
  <w:style w:type="paragraph" w:styleId="Nagwek">
    <w:name w:val="header"/>
    <w:basedOn w:val="Normalny"/>
    <w:link w:val="NagwekZnak"/>
    <w:uiPriority w:val="99"/>
    <w:unhideWhenUsed/>
    <w:rsid w:val="005B3A56"/>
    <w:pPr>
      <w:tabs>
        <w:tab w:val="center" w:pos="4513"/>
        <w:tab w:val="right" w:pos="9026"/>
      </w:tabs>
    </w:pPr>
  </w:style>
  <w:style w:type="character" w:customStyle="1" w:styleId="NagwekZnak">
    <w:name w:val="Nagłówek Znak"/>
    <w:basedOn w:val="Domylnaczcionkaakapitu"/>
    <w:link w:val="Nagwek"/>
    <w:uiPriority w:val="99"/>
    <w:rsid w:val="005B3A56"/>
    <w:rPr>
      <w:rFonts w:ascii="Tw Cen MT" w:eastAsia="Tw Cen MT" w:hAnsi="Tw Cen MT" w:cs="Tw Cen MT"/>
    </w:rPr>
  </w:style>
  <w:style w:type="paragraph" w:styleId="Stopka">
    <w:name w:val="footer"/>
    <w:basedOn w:val="Normalny"/>
    <w:link w:val="StopkaZnak"/>
    <w:uiPriority w:val="99"/>
    <w:unhideWhenUsed/>
    <w:rsid w:val="005B3A56"/>
    <w:pPr>
      <w:tabs>
        <w:tab w:val="center" w:pos="4513"/>
        <w:tab w:val="right" w:pos="9026"/>
      </w:tabs>
    </w:pPr>
  </w:style>
  <w:style w:type="character" w:customStyle="1" w:styleId="StopkaZnak">
    <w:name w:val="Stopka Znak"/>
    <w:basedOn w:val="Domylnaczcionkaakapitu"/>
    <w:link w:val="Stopka"/>
    <w:uiPriority w:val="99"/>
    <w:rsid w:val="005B3A56"/>
    <w:rPr>
      <w:rFonts w:ascii="Tw Cen MT" w:eastAsia="Tw Cen MT" w:hAnsi="Tw Cen MT" w:cs="Tw Cen MT"/>
    </w:rPr>
  </w:style>
  <w:style w:type="paragraph" w:styleId="Tekstdymka">
    <w:name w:val="Balloon Text"/>
    <w:basedOn w:val="Normalny"/>
    <w:link w:val="TekstdymkaZnak"/>
    <w:uiPriority w:val="99"/>
    <w:semiHidden/>
    <w:unhideWhenUsed/>
    <w:rsid w:val="004F3523"/>
    <w:rPr>
      <w:rFonts w:ascii="Tahoma" w:hAnsi="Tahoma" w:cs="Tahoma"/>
      <w:sz w:val="16"/>
      <w:szCs w:val="16"/>
    </w:rPr>
  </w:style>
  <w:style w:type="character" w:customStyle="1" w:styleId="TekstdymkaZnak">
    <w:name w:val="Tekst dymka Znak"/>
    <w:basedOn w:val="Domylnaczcionkaakapitu"/>
    <w:link w:val="Tekstdymka"/>
    <w:uiPriority w:val="99"/>
    <w:semiHidden/>
    <w:rsid w:val="004F3523"/>
    <w:rPr>
      <w:rFonts w:ascii="Tahoma" w:eastAsia="Tw Cen MT" w:hAnsi="Tahoma" w:cs="Tahoma"/>
      <w:sz w:val="16"/>
      <w:szCs w:val="16"/>
    </w:rPr>
  </w:style>
  <w:style w:type="character" w:styleId="Hipercze">
    <w:name w:val="Hyperlink"/>
    <w:basedOn w:val="Domylnaczcionkaakapitu"/>
    <w:uiPriority w:val="99"/>
    <w:unhideWhenUsed/>
    <w:rsid w:val="008756E6"/>
    <w:rPr>
      <w:color w:val="0000FF" w:themeColor="hyperlink"/>
      <w:u w:val="single"/>
    </w:rPr>
  </w:style>
  <w:style w:type="character" w:customStyle="1" w:styleId="TekstpodstawowyZnak">
    <w:name w:val="Tekst podstawowy Znak"/>
    <w:basedOn w:val="Domylnaczcionkaakapitu"/>
    <w:link w:val="Tekstpodstawowy"/>
    <w:uiPriority w:val="1"/>
    <w:rsid w:val="005973B9"/>
    <w:rPr>
      <w:rFonts w:ascii="Tw Cen MT" w:eastAsia="Tw Cen MT" w:hAnsi="Tw Cen MT" w:cs="Tw Cen MT"/>
      <w:sz w:val="18"/>
      <w:szCs w:val="18"/>
    </w:rPr>
  </w:style>
  <w:style w:type="character" w:styleId="Uwydatnienie">
    <w:name w:val="Emphasis"/>
    <w:basedOn w:val="Domylnaczcionkaakapitu"/>
    <w:uiPriority w:val="20"/>
    <w:qFormat/>
    <w:rsid w:val="00F057E6"/>
    <w:rPr>
      <w:b/>
      <w:bCs/>
      <w:i w:val="0"/>
      <w:iCs w:val="0"/>
    </w:rPr>
  </w:style>
  <w:style w:type="character" w:customStyle="1" w:styleId="st1">
    <w:name w:val="st1"/>
    <w:basedOn w:val="Domylnaczcionkaakapitu"/>
    <w:rsid w:val="00F057E6"/>
  </w:style>
  <w:style w:type="character" w:customStyle="1" w:styleId="highlight2">
    <w:name w:val="highlight2"/>
    <w:basedOn w:val="Domylnaczcionkaakapitu"/>
    <w:rsid w:val="002865B5"/>
  </w:style>
  <w:style w:type="character" w:styleId="Wzmianka">
    <w:name w:val="Mention"/>
    <w:basedOn w:val="Domylnaczcionkaakapitu"/>
    <w:uiPriority w:val="99"/>
    <w:semiHidden/>
    <w:unhideWhenUsed/>
    <w:rsid w:val="003020D2"/>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nna.bogdali@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768</Words>
  <Characters>4613</Characters>
  <Application>Microsoft Office Word</Application>
  <DocSecurity>0</DocSecurity>
  <Lines>38</Lines>
  <Paragraphs>10</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5371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Anna Bogdali</cp:lastModifiedBy>
  <cp:revision>3</cp:revision>
  <dcterms:created xsi:type="dcterms:W3CDTF">2017-05-03T15:30:00Z</dcterms:created>
  <dcterms:modified xsi:type="dcterms:W3CDTF">2017-05-03T15:40:00Z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