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912" w:rsidRPr="00DC04DD" w:rsidRDefault="00127912" w:rsidP="00127912">
      <w:pPr>
        <w:jc w:val="center"/>
        <w:rPr>
          <w:rFonts w:ascii="Arial" w:hAnsi="Arial" w:cs="Arial"/>
          <w:sz w:val="28"/>
          <w:szCs w:val="28"/>
          <w:lang w:val="en-US"/>
        </w:rPr>
      </w:pPr>
      <w:r w:rsidRPr="00DC04DD">
        <w:rPr>
          <w:rFonts w:ascii="Arial" w:hAnsi="Arial" w:cs="Arial"/>
          <w:sz w:val="28"/>
          <w:szCs w:val="28"/>
          <w:lang w:val="en-US"/>
        </w:rPr>
        <w:t>NATURAL NANOSTRUCTURES (LIPOPROTEIDS OF BLOOD PLASMA) PLAY THE IMPORTANT ROLE IN THE DEVELOPMENT OF PATHOLOGICAL STATES</w:t>
      </w:r>
    </w:p>
    <w:p w:rsidR="00127912" w:rsidRPr="00DC04DD" w:rsidRDefault="00127912" w:rsidP="00127912">
      <w:pPr>
        <w:pStyle w:val="a3"/>
        <w:tabs>
          <w:tab w:val="left" w:pos="4320"/>
        </w:tabs>
        <w:ind w:left="-539" w:right="357"/>
        <w:rPr>
          <w:rFonts w:ascii="Arial" w:hAnsi="Arial" w:cs="Arial"/>
          <w:sz w:val="28"/>
          <w:szCs w:val="28"/>
          <w:lang w:val="en-US"/>
        </w:rPr>
      </w:pPr>
      <w:r w:rsidRPr="00DC04DD">
        <w:rPr>
          <w:rFonts w:ascii="Arial" w:hAnsi="Arial" w:cs="Arial"/>
          <w:sz w:val="28"/>
          <w:szCs w:val="28"/>
          <w:lang w:val="en-US"/>
        </w:rPr>
        <w:t xml:space="preserve">Lankin V., </w:t>
      </w:r>
      <w:proofErr w:type="spellStart"/>
      <w:r w:rsidRPr="00DC04DD">
        <w:rPr>
          <w:rFonts w:ascii="Arial" w:hAnsi="Arial" w:cs="Arial"/>
          <w:sz w:val="28"/>
          <w:szCs w:val="28"/>
          <w:lang w:val="en-US"/>
        </w:rPr>
        <w:t>Tikhaze</w:t>
      </w:r>
      <w:proofErr w:type="spellEnd"/>
      <w:r w:rsidRPr="00DC04DD">
        <w:rPr>
          <w:rFonts w:ascii="Arial" w:hAnsi="Arial" w:cs="Arial"/>
          <w:sz w:val="28"/>
          <w:szCs w:val="28"/>
          <w:lang w:val="en-US"/>
        </w:rPr>
        <w:t xml:space="preserve"> A.</w:t>
      </w:r>
    </w:p>
    <w:p w:rsidR="00127912" w:rsidRPr="00DC04DD" w:rsidRDefault="00127912" w:rsidP="00127912">
      <w:pPr>
        <w:pStyle w:val="a3"/>
        <w:tabs>
          <w:tab w:val="left" w:pos="4320"/>
        </w:tabs>
        <w:ind w:left="-539" w:right="357"/>
        <w:rPr>
          <w:rFonts w:ascii="Arial" w:hAnsi="Arial" w:cs="Arial"/>
          <w:sz w:val="28"/>
          <w:szCs w:val="28"/>
          <w:lang w:val="en-US"/>
        </w:rPr>
      </w:pPr>
    </w:p>
    <w:p w:rsidR="00127912" w:rsidRPr="00DC04DD" w:rsidRDefault="00127912" w:rsidP="00127912">
      <w:pPr>
        <w:pStyle w:val="a3"/>
        <w:tabs>
          <w:tab w:val="left" w:pos="4320"/>
        </w:tabs>
        <w:ind w:left="-539" w:right="357"/>
        <w:jc w:val="both"/>
        <w:rPr>
          <w:rFonts w:ascii="Arial" w:hAnsi="Arial" w:cs="Arial"/>
          <w:i/>
          <w:sz w:val="28"/>
          <w:szCs w:val="28"/>
          <w:lang w:val="en-US"/>
        </w:rPr>
      </w:pPr>
      <w:r w:rsidRPr="00DC04DD">
        <w:rPr>
          <w:rFonts w:ascii="Arial" w:hAnsi="Arial" w:cs="Arial"/>
          <w:i/>
          <w:sz w:val="28"/>
          <w:szCs w:val="28"/>
          <w:lang w:val="en-US"/>
        </w:rPr>
        <w:t xml:space="preserve">Russian Cardiology Research Complex, Moscow, Russia; lankin941@mail.ru </w:t>
      </w:r>
    </w:p>
    <w:p w:rsidR="00127912" w:rsidRDefault="00127912" w:rsidP="00127912">
      <w:pPr>
        <w:jc w:val="both"/>
        <w:rPr>
          <w:rFonts w:ascii="Arial" w:hAnsi="Arial" w:cs="Arial"/>
          <w:sz w:val="28"/>
          <w:szCs w:val="28"/>
          <w:lang w:val="en-US"/>
        </w:rPr>
      </w:pPr>
    </w:p>
    <w:p w:rsidR="00127912" w:rsidRPr="00DC04DD" w:rsidRDefault="00127912" w:rsidP="00127912">
      <w:pPr>
        <w:jc w:val="both"/>
        <w:rPr>
          <w:rFonts w:ascii="Arial" w:hAnsi="Arial" w:cs="Arial"/>
          <w:sz w:val="28"/>
          <w:szCs w:val="28"/>
          <w:lang w:val="en-US"/>
        </w:rPr>
      </w:pPr>
      <w:r w:rsidRPr="00DC04DD">
        <w:rPr>
          <w:rFonts w:ascii="Arial" w:hAnsi="Arial" w:cs="Arial"/>
          <w:sz w:val="28"/>
          <w:szCs w:val="28"/>
          <w:lang w:val="en-US"/>
        </w:rPr>
        <w:t xml:space="preserve">Low density </w:t>
      </w:r>
      <w:proofErr w:type="gramStart"/>
      <w:r w:rsidRPr="00DC04DD">
        <w:rPr>
          <w:rFonts w:ascii="Arial" w:hAnsi="Arial" w:cs="Arial"/>
          <w:sz w:val="28"/>
          <w:szCs w:val="28"/>
          <w:lang w:val="en-US"/>
        </w:rPr>
        <w:t>lipoproteins  (</w:t>
      </w:r>
      <w:proofErr w:type="gramEnd"/>
      <w:r w:rsidRPr="00DC04DD">
        <w:rPr>
          <w:rFonts w:ascii="Arial" w:hAnsi="Arial" w:cs="Arial"/>
          <w:sz w:val="28"/>
          <w:szCs w:val="28"/>
          <w:lang w:val="en-US"/>
        </w:rPr>
        <w:t xml:space="preserve">LDL) of  blood plasma are natural lipid-transporting nanoparticles. LDL </w:t>
      </w:r>
      <w:proofErr w:type="gramStart"/>
      <w:r w:rsidRPr="00DC04DD">
        <w:rPr>
          <w:rFonts w:ascii="Arial" w:hAnsi="Arial" w:cs="Arial"/>
          <w:sz w:val="28"/>
          <w:szCs w:val="28"/>
          <w:lang w:val="en-US"/>
        </w:rPr>
        <w:t>peroxidation  leads</w:t>
      </w:r>
      <w:proofErr w:type="gramEnd"/>
      <w:r w:rsidRPr="00DC04DD">
        <w:rPr>
          <w:rFonts w:ascii="Arial" w:hAnsi="Arial" w:cs="Arial"/>
          <w:sz w:val="28"/>
          <w:szCs w:val="28"/>
          <w:lang w:val="en-US"/>
        </w:rPr>
        <w:t xml:space="preserve"> to the accumulation of primary (</w:t>
      </w:r>
      <w:proofErr w:type="spellStart"/>
      <w:r w:rsidRPr="00DC04DD">
        <w:rPr>
          <w:rFonts w:ascii="Arial" w:hAnsi="Arial" w:cs="Arial"/>
          <w:sz w:val="28"/>
          <w:szCs w:val="28"/>
          <w:lang w:val="en-US"/>
        </w:rPr>
        <w:t>hydroperoxides</w:t>
      </w:r>
      <w:proofErr w:type="spellEnd"/>
      <w:r w:rsidRPr="00DC04DD">
        <w:rPr>
          <w:rFonts w:ascii="Arial" w:hAnsi="Arial" w:cs="Arial"/>
          <w:sz w:val="28"/>
          <w:szCs w:val="28"/>
          <w:lang w:val="en-US"/>
        </w:rPr>
        <w:t>) and secondary (</w:t>
      </w:r>
      <w:proofErr w:type="spellStart"/>
      <w:r w:rsidRPr="00DC04DD">
        <w:rPr>
          <w:rFonts w:ascii="Arial" w:hAnsi="Arial" w:cs="Arial"/>
          <w:sz w:val="28"/>
          <w:szCs w:val="28"/>
          <w:lang w:val="en-US"/>
        </w:rPr>
        <w:t>dicarbonyls</w:t>
      </w:r>
      <w:proofErr w:type="spellEnd"/>
      <w:r w:rsidRPr="00DC04DD">
        <w:rPr>
          <w:rFonts w:ascii="Arial" w:hAnsi="Arial" w:cs="Arial"/>
          <w:sz w:val="28"/>
          <w:szCs w:val="28"/>
          <w:lang w:val="en-US"/>
        </w:rPr>
        <w:t xml:space="preserve">) products. This is accompanied by a modification of the LDL particles </w:t>
      </w:r>
      <w:proofErr w:type="gramStart"/>
      <w:r w:rsidRPr="00DC04DD">
        <w:rPr>
          <w:rFonts w:ascii="Arial" w:hAnsi="Arial" w:cs="Arial"/>
          <w:sz w:val="28"/>
          <w:szCs w:val="28"/>
          <w:lang w:val="en-US"/>
        </w:rPr>
        <w:t>structure ,</w:t>
      </w:r>
      <w:proofErr w:type="gramEnd"/>
      <w:r w:rsidRPr="00DC04DD">
        <w:rPr>
          <w:rFonts w:ascii="Arial" w:hAnsi="Arial" w:cs="Arial"/>
          <w:sz w:val="28"/>
          <w:szCs w:val="28"/>
          <w:lang w:val="en-US"/>
        </w:rPr>
        <w:t xml:space="preserve"> as a result of which they acquire the ability to be captured by scavenger receptors of cells and induce of </w:t>
      </w:r>
      <w:proofErr w:type="spellStart"/>
      <w:r w:rsidRPr="00DC04DD">
        <w:rPr>
          <w:rFonts w:ascii="Arial" w:hAnsi="Arial" w:cs="Arial"/>
          <w:sz w:val="28"/>
          <w:szCs w:val="28"/>
          <w:lang w:val="en-US"/>
        </w:rPr>
        <w:t>atherogenic</w:t>
      </w:r>
      <w:proofErr w:type="spellEnd"/>
      <w:r w:rsidRPr="00DC04DD">
        <w:rPr>
          <w:rFonts w:ascii="Arial" w:hAnsi="Arial" w:cs="Arial"/>
          <w:sz w:val="28"/>
          <w:szCs w:val="28"/>
          <w:lang w:val="en-US"/>
        </w:rPr>
        <w:t xml:space="preserve"> damage in vessel wall during cardiovascular diseases and in diabetes. It has been shown that the co-oxidation of LDL lipids and glucose causes intensification of free radical </w:t>
      </w:r>
      <w:proofErr w:type="gramStart"/>
      <w:r w:rsidRPr="00DC04DD">
        <w:rPr>
          <w:rFonts w:ascii="Arial" w:hAnsi="Arial" w:cs="Arial"/>
          <w:sz w:val="28"/>
          <w:szCs w:val="28"/>
          <w:lang w:val="en-US"/>
        </w:rPr>
        <w:t>processes  and</w:t>
      </w:r>
      <w:proofErr w:type="gramEnd"/>
      <w:r w:rsidRPr="00DC04DD">
        <w:rPr>
          <w:rFonts w:ascii="Arial" w:hAnsi="Arial" w:cs="Arial"/>
          <w:sz w:val="28"/>
          <w:szCs w:val="28"/>
          <w:lang w:val="en-US"/>
        </w:rPr>
        <w:t xml:space="preserve"> the glucose oxidation product  - methylglyoxal produces a superoxide radical anion in the process of interaction with amine compounds. It was established that in patients with diabetes mellitus the oxidation of LDL is significantly higher than in patients with atherosclerosis. </w:t>
      </w:r>
      <w:proofErr w:type="gramStart"/>
      <w:r w:rsidRPr="00DC04DD">
        <w:rPr>
          <w:rFonts w:ascii="Arial" w:hAnsi="Arial" w:cs="Arial"/>
          <w:sz w:val="28"/>
          <w:szCs w:val="28"/>
          <w:lang w:val="en-US"/>
        </w:rPr>
        <w:t>Nevertheless  the</w:t>
      </w:r>
      <w:proofErr w:type="gramEnd"/>
      <w:r w:rsidRPr="00DC04DD">
        <w:rPr>
          <w:rFonts w:ascii="Arial" w:hAnsi="Arial" w:cs="Arial"/>
          <w:sz w:val="28"/>
          <w:szCs w:val="28"/>
          <w:lang w:val="en-US"/>
        </w:rPr>
        <w:t xml:space="preserve"> particles of more </w:t>
      </w:r>
      <w:proofErr w:type="spellStart"/>
      <w:r w:rsidRPr="00DC04DD">
        <w:rPr>
          <w:rFonts w:ascii="Arial" w:hAnsi="Arial" w:cs="Arial"/>
          <w:sz w:val="28"/>
          <w:szCs w:val="28"/>
          <w:lang w:val="en-US"/>
        </w:rPr>
        <w:t>atherogenic</w:t>
      </w:r>
      <w:proofErr w:type="spellEnd"/>
      <w:r w:rsidRPr="00DC04DD">
        <w:rPr>
          <w:rFonts w:ascii="Arial" w:hAnsi="Arial" w:cs="Arial"/>
          <w:sz w:val="28"/>
          <w:szCs w:val="28"/>
          <w:lang w:val="en-US"/>
        </w:rPr>
        <w:t xml:space="preserve"> lipoproteins (a) are subject to free radical oxidation to a much lesser degree than LDL particles, but become susceptible to oxidation after modification with low molecular weight </w:t>
      </w:r>
      <w:proofErr w:type="spellStart"/>
      <w:r w:rsidRPr="00DC04DD">
        <w:rPr>
          <w:rFonts w:ascii="Arial" w:hAnsi="Arial" w:cs="Arial"/>
          <w:sz w:val="28"/>
          <w:szCs w:val="28"/>
          <w:lang w:val="en-US"/>
        </w:rPr>
        <w:t>dicarbonyls</w:t>
      </w:r>
      <w:proofErr w:type="spellEnd"/>
      <w:r w:rsidRPr="00DC04DD">
        <w:rPr>
          <w:rFonts w:ascii="Arial" w:hAnsi="Arial" w:cs="Arial"/>
          <w:sz w:val="28"/>
          <w:szCs w:val="28"/>
          <w:lang w:val="en-US"/>
        </w:rPr>
        <w:t xml:space="preserve">. LDL modified with </w:t>
      </w:r>
      <w:proofErr w:type="spellStart"/>
      <w:r w:rsidRPr="00DC04DD">
        <w:rPr>
          <w:rFonts w:ascii="Arial" w:hAnsi="Arial" w:cs="Arial"/>
          <w:sz w:val="28"/>
          <w:szCs w:val="28"/>
          <w:lang w:val="en-US"/>
        </w:rPr>
        <w:t>glyoxal</w:t>
      </w:r>
      <w:proofErr w:type="spellEnd"/>
      <w:r w:rsidRPr="00DC04DD">
        <w:rPr>
          <w:rFonts w:ascii="Arial" w:hAnsi="Arial" w:cs="Arial"/>
          <w:sz w:val="28"/>
          <w:szCs w:val="28"/>
          <w:lang w:val="en-US"/>
        </w:rPr>
        <w:t xml:space="preserve"> and methylglyoxal are quite slowly eliminated from the blood flow of primates (rhesus monkey), whereas </w:t>
      </w:r>
      <w:proofErr w:type="spellStart"/>
      <w:r w:rsidRPr="00DC04DD">
        <w:rPr>
          <w:rFonts w:ascii="Arial" w:hAnsi="Arial" w:cs="Arial"/>
          <w:sz w:val="28"/>
          <w:szCs w:val="28"/>
          <w:lang w:val="en-US"/>
        </w:rPr>
        <w:t>malonyldialdehyde</w:t>
      </w:r>
      <w:proofErr w:type="spellEnd"/>
      <w:r w:rsidRPr="00DC04DD">
        <w:rPr>
          <w:rFonts w:ascii="Arial" w:hAnsi="Arial" w:cs="Arial"/>
          <w:sz w:val="28"/>
          <w:szCs w:val="28"/>
          <w:lang w:val="en-US"/>
        </w:rPr>
        <w:t>-modified LDL disappear</w:t>
      </w:r>
      <w:r w:rsidR="008409E6" w:rsidRPr="008409E6">
        <w:rPr>
          <w:rFonts w:ascii="Arial" w:hAnsi="Arial" w:cs="Arial"/>
          <w:sz w:val="28"/>
          <w:szCs w:val="28"/>
          <w:lang w:val="en-US"/>
        </w:rPr>
        <w:t xml:space="preserve"> </w:t>
      </w:r>
      <w:bookmarkStart w:id="0" w:name="_GoBack"/>
      <w:bookmarkEnd w:id="0"/>
      <w:r w:rsidRPr="00DC04DD">
        <w:rPr>
          <w:rFonts w:ascii="Arial" w:hAnsi="Arial" w:cs="Arial"/>
          <w:sz w:val="28"/>
          <w:szCs w:val="28"/>
          <w:lang w:val="en-US"/>
        </w:rPr>
        <w:t xml:space="preserve"> from the bloodstream very quickly.</w:t>
      </w:r>
    </w:p>
    <w:p w:rsidR="00127912" w:rsidRPr="00DC04DD" w:rsidRDefault="00127912" w:rsidP="00127912">
      <w:pPr>
        <w:jc w:val="center"/>
        <w:rPr>
          <w:rFonts w:ascii="Arial" w:hAnsi="Arial" w:cs="Arial"/>
          <w:sz w:val="28"/>
          <w:szCs w:val="28"/>
          <w:lang w:val="en-US"/>
        </w:rPr>
      </w:pPr>
      <w:r w:rsidRPr="00DC04DD">
        <w:rPr>
          <w:rFonts w:ascii="Arial" w:hAnsi="Arial" w:cs="Arial"/>
          <w:sz w:val="28"/>
          <w:szCs w:val="28"/>
          <w:lang w:val="en-US"/>
        </w:rPr>
        <w:t>The work was carried out with the partial financial support of the grant of the Russian Science Foundation No. 14-15-00245.</w:t>
      </w:r>
    </w:p>
    <w:p w:rsidR="00127912" w:rsidRPr="00DC04DD" w:rsidRDefault="00127912" w:rsidP="00127912">
      <w:pPr>
        <w:pStyle w:val="a3"/>
        <w:tabs>
          <w:tab w:val="left" w:pos="4320"/>
        </w:tabs>
        <w:ind w:left="-539" w:right="357"/>
        <w:jc w:val="both"/>
        <w:rPr>
          <w:rFonts w:ascii="Arial" w:hAnsi="Arial" w:cs="Arial"/>
          <w:sz w:val="28"/>
          <w:szCs w:val="28"/>
          <w:lang w:val="en-US"/>
        </w:rPr>
      </w:pPr>
      <w:r w:rsidRPr="00DC04DD">
        <w:rPr>
          <w:rFonts w:ascii="Arial" w:hAnsi="Arial" w:cs="Arial"/>
          <w:sz w:val="28"/>
          <w:szCs w:val="28"/>
          <w:lang w:val="en-US"/>
        </w:rPr>
        <w:t xml:space="preserve">Main publications: Lankin V. et al., in: Handbook of Lipoprotein Res. 2010, Nova </w:t>
      </w:r>
      <w:proofErr w:type="spellStart"/>
      <w:r w:rsidRPr="00DC04DD">
        <w:rPr>
          <w:rFonts w:ascii="Arial" w:hAnsi="Arial" w:cs="Arial"/>
          <w:sz w:val="28"/>
          <w:szCs w:val="28"/>
          <w:lang w:val="en-US"/>
        </w:rPr>
        <w:t>Sci.Pub</w:t>
      </w:r>
      <w:proofErr w:type="spellEnd"/>
      <w:r w:rsidRPr="00DC04DD">
        <w:rPr>
          <w:rFonts w:ascii="Arial" w:hAnsi="Arial" w:cs="Arial"/>
          <w:sz w:val="28"/>
          <w:szCs w:val="28"/>
          <w:lang w:val="en-US"/>
        </w:rPr>
        <w:t xml:space="preserve">., 85-107; Lankin VZ et al., </w:t>
      </w:r>
      <w:proofErr w:type="spellStart"/>
      <w:r w:rsidRPr="00DC04DD">
        <w:rPr>
          <w:rFonts w:ascii="Arial" w:hAnsi="Arial" w:cs="Arial"/>
          <w:sz w:val="28"/>
          <w:szCs w:val="28"/>
          <w:lang w:val="en-US"/>
        </w:rPr>
        <w:t>Mol</w:t>
      </w:r>
      <w:proofErr w:type="spellEnd"/>
      <w:r w:rsidRPr="00DC04DD">
        <w:rPr>
          <w:rFonts w:ascii="Arial" w:hAnsi="Arial" w:cs="Arial"/>
          <w:sz w:val="28"/>
          <w:szCs w:val="28"/>
          <w:lang w:val="en-US"/>
        </w:rPr>
        <w:t xml:space="preserve"> Cell </w:t>
      </w:r>
      <w:proofErr w:type="spellStart"/>
      <w:r w:rsidRPr="00DC04DD">
        <w:rPr>
          <w:rFonts w:ascii="Arial" w:hAnsi="Arial" w:cs="Arial"/>
          <w:sz w:val="28"/>
          <w:szCs w:val="28"/>
          <w:lang w:val="en-US"/>
        </w:rPr>
        <w:t>Biochem</w:t>
      </w:r>
      <w:proofErr w:type="spellEnd"/>
      <w:r w:rsidRPr="00DC04DD">
        <w:rPr>
          <w:rFonts w:ascii="Arial" w:hAnsi="Arial" w:cs="Arial"/>
          <w:sz w:val="28"/>
          <w:szCs w:val="28"/>
          <w:lang w:val="en-US"/>
        </w:rPr>
        <w:t xml:space="preserve"> 2014, 395(1-2): 241-252; Lankin VZ et al., </w:t>
      </w:r>
      <w:proofErr w:type="spellStart"/>
      <w:r w:rsidRPr="00DC04DD">
        <w:rPr>
          <w:rFonts w:ascii="Arial" w:hAnsi="Arial" w:cs="Arial"/>
          <w:sz w:val="28"/>
          <w:szCs w:val="28"/>
          <w:lang w:val="en-US"/>
        </w:rPr>
        <w:t>J.Diabetes</w:t>
      </w:r>
      <w:proofErr w:type="spellEnd"/>
      <w:r w:rsidRPr="00DC04DD">
        <w:rPr>
          <w:rFonts w:ascii="Arial" w:hAnsi="Arial" w:cs="Arial"/>
          <w:sz w:val="28"/>
          <w:szCs w:val="28"/>
          <w:lang w:val="en-US"/>
        </w:rPr>
        <w:t xml:space="preserve"> 2015, 8(3): 398-404; Lankin VZ, </w:t>
      </w:r>
      <w:proofErr w:type="spellStart"/>
      <w:r w:rsidRPr="00DC04DD">
        <w:rPr>
          <w:rFonts w:ascii="Arial" w:hAnsi="Arial" w:cs="Arial"/>
          <w:sz w:val="28"/>
          <w:szCs w:val="28"/>
          <w:lang w:val="en-US"/>
        </w:rPr>
        <w:t>Tikhaze</w:t>
      </w:r>
      <w:proofErr w:type="spellEnd"/>
      <w:r w:rsidRPr="00DC04DD">
        <w:rPr>
          <w:rFonts w:ascii="Arial" w:hAnsi="Arial" w:cs="Arial"/>
          <w:sz w:val="28"/>
          <w:szCs w:val="28"/>
          <w:lang w:val="en-US"/>
        </w:rPr>
        <w:t xml:space="preserve"> AK. </w:t>
      </w:r>
      <w:proofErr w:type="spellStart"/>
      <w:r w:rsidRPr="00DC04DD">
        <w:rPr>
          <w:rFonts w:ascii="Arial" w:hAnsi="Arial" w:cs="Arial"/>
          <w:sz w:val="28"/>
          <w:szCs w:val="28"/>
          <w:lang w:val="en-US"/>
        </w:rPr>
        <w:t>Curr</w:t>
      </w:r>
      <w:proofErr w:type="spellEnd"/>
      <w:r w:rsidRPr="00DC04DD">
        <w:rPr>
          <w:rFonts w:ascii="Arial" w:hAnsi="Arial" w:cs="Arial"/>
          <w:sz w:val="28"/>
          <w:szCs w:val="28"/>
          <w:lang w:val="en-US"/>
        </w:rPr>
        <w:t xml:space="preserve"> Aging Sci. 2017, 10(1): 18-25.</w:t>
      </w:r>
    </w:p>
    <w:p w:rsidR="005E3CA4" w:rsidRDefault="005E3CA4"/>
    <w:sectPr w:rsidR="005E3C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912"/>
    <w:rsid w:val="00127912"/>
    <w:rsid w:val="005E3CA4"/>
    <w:rsid w:val="00840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9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27912"/>
    <w:pPr>
      <w:spacing w:after="0" w:line="240" w:lineRule="auto"/>
      <w:jc w:val="center"/>
    </w:pPr>
    <w:rPr>
      <w:rFonts w:ascii="Times New Roman" w:eastAsia="Times New Roman" w:hAnsi="Times New Roman" w:cs="Times New Roman"/>
      <w:sz w:val="26"/>
      <w:szCs w:val="26"/>
      <w:lang w:eastAsia="ru-RU"/>
    </w:rPr>
  </w:style>
  <w:style w:type="character" w:customStyle="1" w:styleId="a4">
    <w:name w:val="Основной текст Знак"/>
    <w:basedOn w:val="a0"/>
    <w:link w:val="a3"/>
    <w:uiPriority w:val="99"/>
    <w:rsid w:val="00127912"/>
    <w:rPr>
      <w:rFonts w:ascii="Times New Roman" w:eastAsia="Times New Roman" w:hAnsi="Times New Roman" w:cs="Times New Roman"/>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9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127912"/>
    <w:pPr>
      <w:spacing w:after="0" w:line="240" w:lineRule="auto"/>
      <w:jc w:val="center"/>
    </w:pPr>
    <w:rPr>
      <w:rFonts w:ascii="Times New Roman" w:eastAsia="Times New Roman" w:hAnsi="Times New Roman" w:cs="Times New Roman"/>
      <w:sz w:val="26"/>
      <w:szCs w:val="26"/>
      <w:lang w:eastAsia="ru-RU"/>
    </w:rPr>
  </w:style>
  <w:style w:type="character" w:customStyle="1" w:styleId="a4">
    <w:name w:val="Основной текст Знак"/>
    <w:basedOn w:val="a0"/>
    <w:link w:val="a3"/>
    <w:uiPriority w:val="99"/>
    <w:rsid w:val="00127912"/>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user_2</dc:creator>
  <cp:lastModifiedBy>user_2</cp:lastModifiedBy>
  <cp:revision>2</cp:revision>
  <cp:lastPrinted>2017-03-16T12:09:00Z</cp:lastPrinted>
  <dcterms:created xsi:type="dcterms:W3CDTF">2017-03-16T11:46:00Z</dcterms:created>
  <dcterms:modified xsi:type="dcterms:W3CDTF">2017-03-16T12:10:00Z</dcterms:modified>
</cp:coreProperties>
</file>