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E23" w:rsidRPr="008C08EE" w:rsidRDefault="00412E23" w:rsidP="00494130">
      <w:pPr>
        <w:pStyle w:val="Heading1"/>
        <w:spacing w:before="170"/>
        <w:ind w:left="0"/>
        <w:rPr>
          <w:rFonts w:ascii="Calibri" w:hAnsi="Calibri" w:cs="Calibri"/>
        </w:rPr>
      </w:pPr>
      <w:bookmarkStart w:id="0" w:name="_GoBack"/>
      <w:bookmarkEnd w:id="0"/>
      <w:r w:rsidRPr="008C08EE">
        <w:rPr>
          <w:rFonts w:ascii="Calibri" w:hAnsi="Calibri" w:cs="Calibri"/>
        </w:rPr>
        <w:t>Molecular mechanism</w:t>
      </w:r>
      <w:r>
        <w:rPr>
          <w:rFonts w:ascii="Calibri" w:hAnsi="Calibri" w:cs="Calibri"/>
        </w:rPr>
        <w:t>s</w:t>
      </w:r>
      <w:r w:rsidRPr="008C08EE">
        <w:rPr>
          <w:rFonts w:ascii="Calibri" w:hAnsi="Calibri" w:cs="Calibri"/>
        </w:rPr>
        <w:t xml:space="preserve"> and </w:t>
      </w:r>
      <w:r>
        <w:rPr>
          <w:rFonts w:ascii="Calibri" w:hAnsi="Calibri" w:cs="Calibri"/>
        </w:rPr>
        <w:t>neuronal pathways implicated in</w:t>
      </w:r>
      <w:r w:rsidRPr="008C08EE">
        <w:rPr>
          <w:rFonts w:ascii="Calibri" w:hAnsi="Calibri" w:cs="Calibri"/>
        </w:rPr>
        <w:t xml:space="preserve"> </w:t>
      </w:r>
      <w:r>
        <w:rPr>
          <w:rFonts w:ascii="Calibri" w:hAnsi="Calibri" w:cs="Calibri"/>
        </w:rPr>
        <w:t>rapid-acting antidepressive</w:t>
      </w:r>
      <w:r w:rsidRPr="008C08EE">
        <w:rPr>
          <w:rFonts w:ascii="Calibri" w:hAnsi="Calibri" w:cs="Calibri"/>
        </w:rPr>
        <w:t xml:space="preserve"> </w:t>
      </w:r>
      <w:r>
        <w:rPr>
          <w:rFonts w:ascii="Calibri" w:hAnsi="Calibri" w:cs="Calibri"/>
        </w:rPr>
        <w:t>ketamine properties</w:t>
      </w:r>
    </w:p>
    <w:p w:rsidR="00412E23" w:rsidRDefault="00412E23" w:rsidP="00F51717">
      <w:pPr>
        <w:pStyle w:val="HTMLPreformatted"/>
        <w:shd w:val="clear" w:color="auto" w:fill="FFFFFF"/>
        <w:rPr>
          <w:rFonts w:ascii="Arial"/>
        </w:rPr>
      </w:pPr>
    </w:p>
    <w:p w:rsidR="00412E23" w:rsidRPr="008C08EE" w:rsidRDefault="00412E23" w:rsidP="00F51717">
      <w:pPr>
        <w:pStyle w:val="HTMLPreformatted"/>
        <w:shd w:val="clear" w:color="auto" w:fill="FFFFFF"/>
        <w:rPr>
          <w:rFonts w:ascii="Calibri" w:hAnsi="Calibri" w:cs="Calibri"/>
          <w:color w:val="888888"/>
          <w:sz w:val="22"/>
          <w:szCs w:val="22"/>
        </w:rPr>
      </w:pPr>
      <w:r w:rsidRPr="008C08EE">
        <w:rPr>
          <w:rFonts w:ascii="Calibri" w:hAnsi="Calibri" w:cs="Calibri"/>
          <w:sz w:val="22"/>
          <w:szCs w:val="22"/>
        </w:rPr>
        <w:t xml:space="preserve">Vesna Pešić, </w:t>
      </w:r>
      <w:r w:rsidRPr="008C08EE">
        <w:rPr>
          <w:rFonts w:ascii="Calibri" w:hAnsi="Calibri" w:cs="Calibri"/>
          <w:color w:val="000000"/>
          <w:sz w:val="22"/>
          <w:szCs w:val="22"/>
        </w:rPr>
        <w:t>MSc Pharm, PhD</w:t>
      </w:r>
    </w:p>
    <w:p w:rsidR="00412E23" w:rsidRDefault="00412E23" w:rsidP="005973B9">
      <w:pPr>
        <w:pStyle w:val="BodyText"/>
        <w:spacing w:before="73" w:line="198" w:lineRule="exact"/>
        <w:ind w:left="100" w:right="5987"/>
        <w:rPr>
          <w:rFonts w:ascii="Arial"/>
        </w:rPr>
      </w:pPr>
    </w:p>
    <w:p w:rsidR="00412E23" w:rsidRDefault="00412E23">
      <w:pPr>
        <w:pStyle w:val="BodyText"/>
        <w:rPr>
          <w:rFonts w:ascii="Arial"/>
          <w:sz w:val="20"/>
        </w:rPr>
      </w:pPr>
    </w:p>
    <w:p w:rsidR="00412E23" w:rsidRDefault="00412E23">
      <w:pPr>
        <w:pStyle w:val="BodyText"/>
        <w:spacing w:before="3"/>
        <w:rPr>
          <w:rFonts w:ascii="Arial"/>
          <w:sz w:val="21"/>
        </w:rPr>
      </w:pPr>
    </w:p>
    <w:p w:rsidR="00412E23" w:rsidRDefault="00412E23">
      <w:pPr>
        <w:rPr>
          <w:rFonts w:ascii="Arial"/>
          <w:sz w:val="21"/>
        </w:rPr>
        <w:sectPr w:rsidR="00412E23">
          <w:headerReference w:type="default" r:id="rId8"/>
          <w:footerReference w:type="default" r:id="rId9"/>
          <w:type w:val="continuous"/>
          <w:pgSz w:w="11910" w:h="16840"/>
          <w:pgMar w:top="1740" w:right="600" w:bottom="840" w:left="620" w:header="541" w:footer="642" w:gutter="0"/>
          <w:cols w:space="720"/>
        </w:sectPr>
      </w:pPr>
    </w:p>
    <w:p w:rsidR="00412E23" w:rsidRDefault="00412E23">
      <w:pPr>
        <w:pStyle w:val="Heading3"/>
        <w:spacing w:before="147"/>
        <w:jc w:val="both"/>
      </w:pPr>
      <w:r>
        <w:rPr>
          <w:color w:val="BF5A14"/>
        </w:rPr>
        <w:lastRenderedPageBreak/>
        <w:t>Abstract</w:t>
      </w:r>
    </w:p>
    <w:p w:rsidR="00412E23" w:rsidRPr="002C01F0" w:rsidRDefault="00412E23" w:rsidP="008C08EE">
      <w:pPr>
        <w:jc w:val="both"/>
        <w:rPr>
          <w:rFonts w:ascii="Calibri" w:hAnsi="Calibri" w:cs="Calibri"/>
        </w:rPr>
      </w:pPr>
      <w:r w:rsidRPr="002C01F0">
        <w:rPr>
          <w:rFonts w:ascii="Calibri" w:hAnsi="Calibri" w:cs="Calibri"/>
          <w:b/>
        </w:rPr>
        <w:t>Statement of the Problem:</w:t>
      </w:r>
      <w:r w:rsidRPr="002C01F0">
        <w:rPr>
          <w:rFonts w:ascii="Calibri" w:hAnsi="Calibri" w:cs="Calibri"/>
        </w:rPr>
        <w:t xml:space="preserve"> The emergence of rapid-acting antidepressants such as ketamine has motivated studies aiming to reveal the molecular mechanism of the ketamine antidepressant effect and to enable the clinical</w:t>
      </w:r>
    </w:p>
    <w:p w:rsidR="00412E23" w:rsidRPr="002C01F0" w:rsidRDefault="00412E23" w:rsidP="008C08EE">
      <w:pPr>
        <w:jc w:val="both"/>
        <w:rPr>
          <w:rFonts w:ascii="Calibri" w:hAnsi="Calibri" w:cs="Calibri"/>
        </w:rPr>
      </w:pPr>
      <w:r w:rsidRPr="002C01F0">
        <w:rPr>
          <w:rFonts w:ascii="Calibri" w:hAnsi="Calibri" w:cs="Calibri"/>
        </w:rPr>
        <w:t>application of rapid-acting antidepressants.</w:t>
      </w:r>
      <w:r>
        <w:rPr>
          <w:rFonts w:ascii="Calibri" w:hAnsi="Calibri" w:cs="Calibri"/>
        </w:rPr>
        <w:t xml:space="preserve"> Furthermore, potential role of </w:t>
      </w:r>
      <w:r w:rsidRPr="00CC059B">
        <w:rPr>
          <w:rFonts w:ascii="Calibri" w:hAnsi="Calibri" w:cs="Calibri"/>
        </w:rPr>
        <w:t>of integrin beta-3 (ITGB3) and close homologue of L1 (CHL1)</w:t>
      </w:r>
      <w:r>
        <w:rPr>
          <w:rFonts w:ascii="Calibri" w:hAnsi="Calibri" w:cs="Calibri"/>
        </w:rPr>
        <w:t>,</w:t>
      </w:r>
      <w:r w:rsidRPr="00CC059B">
        <w:rPr>
          <w:rFonts w:ascii="Calibri" w:hAnsi="Calibri" w:cs="Calibri"/>
        </w:rPr>
        <w:t xml:space="preserve"> in </w:t>
      </w:r>
      <w:r>
        <w:rPr>
          <w:rFonts w:ascii="Calibri" w:hAnsi="Calibri" w:cs="Calibri"/>
        </w:rPr>
        <w:t xml:space="preserve">the </w:t>
      </w:r>
      <w:r w:rsidRPr="00CC059B">
        <w:rPr>
          <w:rFonts w:ascii="Calibri" w:hAnsi="Calibri" w:cs="Calibri"/>
        </w:rPr>
        <w:t>mode of action of</w:t>
      </w:r>
      <w:r>
        <w:rPr>
          <w:rFonts w:ascii="Calibri" w:hAnsi="Calibri" w:cs="Calibri"/>
        </w:rPr>
        <w:t xml:space="preserve"> antidepressants was postulated. There is substantial number</w:t>
      </w:r>
      <w:r w:rsidRPr="002C01F0">
        <w:rPr>
          <w:rFonts w:ascii="Calibri" w:hAnsi="Calibri" w:cs="Calibri"/>
        </w:rPr>
        <w:t xml:space="preserve"> of </w:t>
      </w:r>
      <w:r>
        <w:rPr>
          <w:rFonts w:ascii="Calibri" w:hAnsi="Calibri" w:cs="Calibri"/>
        </w:rPr>
        <w:t xml:space="preserve">ongoing </w:t>
      </w:r>
      <w:r w:rsidRPr="002C01F0">
        <w:rPr>
          <w:rFonts w:ascii="Calibri" w:hAnsi="Calibri" w:cs="Calibri"/>
        </w:rPr>
        <w:t>studies addressing the antidepressant effects of ketamine in depressed patients and animal models of depression</w:t>
      </w:r>
      <w:r>
        <w:rPr>
          <w:rFonts w:ascii="Calibri" w:hAnsi="Calibri" w:cs="Calibri"/>
        </w:rPr>
        <w:t>.  R</w:t>
      </w:r>
      <w:r w:rsidRPr="002C01F0">
        <w:rPr>
          <w:rFonts w:ascii="Calibri" w:hAnsi="Calibri" w:cs="Calibri"/>
        </w:rPr>
        <w:t xml:space="preserve">eduction of depressive symptoms in humans </w:t>
      </w:r>
      <w:r>
        <w:rPr>
          <w:rFonts w:ascii="Calibri" w:hAnsi="Calibri" w:cs="Calibri"/>
        </w:rPr>
        <w:t xml:space="preserve">could be </w:t>
      </w:r>
      <w:r w:rsidRPr="002C01F0">
        <w:rPr>
          <w:rFonts w:ascii="Calibri" w:hAnsi="Calibri" w:cs="Calibri"/>
        </w:rPr>
        <w:t>compare</w:t>
      </w:r>
      <w:r>
        <w:rPr>
          <w:rFonts w:ascii="Calibri" w:hAnsi="Calibri" w:cs="Calibri"/>
        </w:rPr>
        <w:t>d</w:t>
      </w:r>
      <w:r w:rsidRPr="002C01F0">
        <w:rPr>
          <w:rFonts w:ascii="Calibri" w:hAnsi="Calibri" w:cs="Calibri"/>
        </w:rPr>
        <w:t xml:space="preserve"> with the reduction in immobility time in the forced swim test in rodents after acute ketamine treatment.</w:t>
      </w:r>
    </w:p>
    <w:p w:rsidR="00412E23" w:rsidRPr="00CC059B" w:rsidRDefault="00412E23" w:rsidP="00CC059B">
      <w:pPr>
        <w:jc w:val="both"/>
        <w:rPr>
          <w:rFonts w:ascii="Calibri" w:hAnsi="Calibri" w:cs="Calibri"/>
        </w:rPr>
      </w:pPr>
      <w:r w:rsidRPr="002C01F0">
        <w:rPr>
          <w:rFonts w:ascii="Calibri" w:hAnsi="Calibri" w:cs="Calibri"/>
          <w:b/>
        </w:rPr>
        <w:t>Methodology &amp; Theoretical Orientation</w:t>
      </w:r>
      <w:r w:rsidRPr="002C01F0">
        <w:rPr>
          <w:rFonts w:ascii="Calibri" w:hAnsi="Calibri" w:cs="Calibri"/>
        </w:rPr>
        <w:t xml:space="preserve">: </w:t>
      </w:r>
    </w:p>
    <w:p w:rsidR="00412E23" w:rsidRPr="002C01F0" w:rsidRDefault="00412E23" w:rsidP="008C08EE">
      <w:pPr>
        <w:jc w:val="both"/>
        <w:rPr>
          <w:rFonts w:ascii="Calibri" w:hAnsi="Calibri" w:cs="Calibri"/>
        </w:rPr>
      </w:pPr>
      <w:r>
        <w:rPr>
          <w:rFonts w:ascii="Calibri" w:hAnsi="Calibri" w:cs="Calibri"/>
        </w:rPr>
        <w:t xml:space="preserve">Using corticosterone-induced chronic stress and depression model we have previously demonstrated reduction of expression of ITGB3 in prefrontal cortex (PFC) of stressed/depressed animals, and protective role of 14-day long oxytocin treatment on DNA oxidative damage and expression of ITGB3 in this model. In the ongoing study we are exploring effects of acute ketamine treatment on behavioral and molecular markers of depression and oxidative stress. Also, IHC analysis is applied in order to examine </w:t>
      </w:r>
      <w:r w:rsidRPr="002C01F0">
        <w:rPr>
          <w:rFonts w:ascii="Calibri" w:hAnsi="Calibri" w:cs="Calibri"/>
        </w:rPr>
        <w:t>potential biochemical pathways involved in the rapid antidepressant response to ketamine</w:t>
      </w:r>
      <w:r>
        <w:rPr>
          <w:rFonts w:ascii="Calibri" w:hAnsi="Calibri" w:cs="Calibri"/>
        </w:rPr>
        <w:t>,</w:t>
      </w:r>
      <w:r w:rsidRPr="002C01F0">
        <w:rPr>
          <w:rFonts w:ascii="Calibri" w:hAnsi="Calibri" w:cs="Calibri"/>
        </w:rPr>
        <w:t xml:space="preserve"> </w:t>
      </w:r>
      <w:r>
        <w:rPr>
          <w:rFonts w:ascii="Calibri" w:hAnsi="Calibri" w:cs="Calibri"/>
        </w:rPr>
        <w:t xml:space="preserve">and weather </w:t>
      </w:r>
      <w:r w:rsidRPr="002C01F0">
        <w:rPr>
          <w:rFonts w:ascii="Calibri" w:hAnsi="Calibri" w:cs="Calibri"/>
        </w:rPr>
        <w:t>the activation of the ventral hippocampus—medial prefrontal cortex—dorsal raphae nuclei (vHC-mPFC–DRN) neuronal pathway may mediate the antidepressant</w:t>
      </w:r>
      <w:r>
        <w:rPr>
          <w:rFonts w:ascii="Calibri" w:hAnsi="Calibri" w:cs="Calibri"/>
        </w:rPr>
        <w:t xml:space="preserve"> </w:t>
      </w:r>
      <w:r w:rsidRPr="002C01F0">
        <w:rPr>
          <w:rFonts w:ascii="Calibri" w:hAnsi="Calibri" w:cs="Calibri"/>
        </w:rPr>
        <w:t xml:space="preserve">effect of ketamine. </w:t>
      </w:r>
    </w:p>
    <w:p w:rsidR="00412E23" w:rsidRDefault="00412E23" w:rsidP="004D0F9D">
      <w:pPr>
        <w:jc w:val="both"/>
      </w:pPr>
      <w:r w:rsidRPr="002C01F0">
        <w:rPr>
          <w:rFonts w:ascii="Calibri" w:hAnsi="Calibri" w:cs="Calibri"/>
          <w:b/>
        </w:rPr>
        <w:t>Conclusion &amp; Significance</w:t>
      </w:r>
      <w:r w:rsidRPr="002C01F0">
        <w:rPr>
          <w:rFonts w:ascii="Calibri" w:hAnsi="Calibri" w:cs="Calibri"/>
        </w:rPr>
        <w:t xml:space="preserve">: </w:t>
      </w:r>
      <w:r>
        <w:rPr>
          <w:rFonts w:ascii="Calibri" w:hAnsi="Calibri" w:cs="Calibri"/>
        </w:rPr>
        <w:t xml:space="preserve">Hopefully, our current results will contribute to the </w:t>
      </w:r>
      <w:r w:rsidRPr="002C01F0">
        <w:rPr>
          <w:rFonts w:ascii="Calibri" w:hAnsi="Calibri" w:cs="Calibri"/>
        </w:rPr>
        <w:t>progress</w:t>
      </w:r>
      <w:r>
        <w:rPr>
          <w:rFonts w:ascii="Calibri" w:hAnsi="Calibri" w:cs="Calibri"/>
        </w:rPr>
        <w:t xml:space="preserve"> in ketamine research and to more precisely identify molecular markers and neuronal pathways involved in ketamine’s mode of action. Further </w:t>
      </w:r>
      <w:r w:rsidRPr="002C01F0">
        <w:rPr>
          <w:rFonts w:ascii="Calibri" w:hAnsi="Calibri" w:cs="Calibri"/>
        </w:rPr>
        <w:t xml:space="preserve">longitudinal clinical trials are necessary </w:t>
      </w:r>
      <w:r>
        <w:rPr>
          <w:rFonts w:ascii="Calibri" w:hAnsi="Calibri" w:cs="Calibri"/>
        </w:rPr>
        <w:t xml:space="preserve">to identify patients that would be good candidates and responders to the ketamine treatment or </w:t>
      </w:r>
      <w:r w:rsidRPr="002C01F0">
        <w:rPr>
          <w:rFonts w:ascii="Calibri" w:hAnsi="Calibri" w:cs="Calibri"/>
        </w:rPr>
        <w:t>successful application of novel rapid-acting antidepressants</w:t>
      </w:r>
      <w:r>
        <w:rPr>
          <w:rFonts w:ascii="Calibri" w:hAnsi="Calibri" w:cs="Calibri"/>
        </w:rPr>
        <w:t xml:space="preserve"> in the future.</w:t>
      </w:r>
      <w:r w:rsidRPr="002C01F0">
        <w:br w:type="column"/>
      </w:r>
      <w:r>
        <w:rPr>
          <w:color w:val="BF5A14"/>
        </w:rPr>
        <w:lastRenderedPageBreak/>
        <w:t>Image</w:t>
      </w:r>
    </w:p>
    <w:p w:rsidR="00412E23" w:rsidRDefault="00A8360A">
      <w:pPr>
        <w:pStyle w:val="BodyText"/>
        <w:spacing w:before="2"/>
        <w:rPr>
          <w:rFonts w:ascii="Arial"/>
          <w:b/>
          <w:sz w:val="16"/>
        </w:rPr>
      </w:pPr>
      <w:r>
        <w:rPr>
          <w:rFonts w:ascii="Arial"/>
          <w:b/>
          <w:noProof/>
          <w:sz w:val="16"/>
          <w:lang w:val="sr-Latn-RS" w:eastAsia="sr-Latn-RS"/>
        </w:rPr>
        <w:drawing>
          <wp:inline distT="0" distB="0" distL="0" distR="0">
            <wp:extent cx="2106930" cy="228981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6930" cy="2289810"/>
                    </a:xfrm>
                    <a:prstGeom prst="rect">
                      <a:avLst/>
                    </a:prstGeom>
                    <a:noFill/>
                    <a:ln>
                      <a:noFill/>
                    </a:ln>
                  </pic:spPr>
                </pic:pic>
              </a:graphicData>
            </a:graphic>
          </wp:inline>
        </w:drawing>
      </w:r>
    </w:p>
    <w:p w:rsidR="00412E23" w:rsidRDefault="00412E23" w:rsidP="005973B9">
      <w:pPr>
        <w:spacing w:line="204" w:lineRule="exact"/>
        <w:rPr>
          <w:rFonts w:ascii="Arial"/>
          <w:b/>
          <w:color w:val="BF5A14"/>
          <w:sz w:val="20"/>
        </w:rPr>
      </w:pPr>
    </w:p>
    <w:p w:rsidR="00412E23" w:rsidRDefault="00412E23" w:rsidP="00184D7E">
      <w:pPr>
        <w:widowControl/>
        <w:autoSpaceDE w:val="0"/>
        <w:autoSpaceDN w:val="0"/>
        <w:adjustRightInd w:val="0"/>
        <w:rPr>
          <w:rFonts w:ascii="Arial"/>
          <w:b/>
          <w:color w:val="BF5A14"/>
          <w:sz w:val="20"/>
        </w:rPr>
      </w:pPr>
      <w:r w:rsidRPr="00184D7E">
        <w:rPr>
          <w:rFonts w:ascii="AdvP193F" w:hAnsi="AdvP193F" w:cs="AdvP193F"/>
          <w:color w:val="231F20"/>
          <w:sz w:val="10"/>
          <w:szCs w:val="10"/>
        </w:rPr>
        <w:t xml:space="preserve">Fig. 1. </w:t>
      </w:r>
      <w:r w:rsidRPr="00184D7E">
        <w:rPr>
          <w:rFonts w:ascii="AdvP1937" w:hAnsi="AdvP1937" w:cs="AdvP1937"/>
          <w:color w:val="231F20"/>
          <w:sz w:val="10"/>
          <w:szCs w:val="10"/>
        </w:rPr>
        <w:t>Activation of ventral hippocampus—medial prefrontal cortex—DRN pathway as a candidate mechanism for an antidepressant effect</w:t>
      </w:r>
      <w:r>
        <w:rPr>
          <w:rFonts w:ascii="AdvP1937" w:hAnsi="AdvP1937" w:cs="AdvP1937"/>
          <w:color w:val="231F20"/>
          <w:sz w:val="10"/>
          <w:szCs w:val="10"/>
        </w:rPr>
        <w:t xml:space="preserve"> </w:t>
      </w:r>
      <w:r w:rsidRPr="00184D7E">
        <w:rPr>
          <w:rFonts w:ascii="AdvP1937" w:hAnsi="AdvP1937" w:cs="AdvP1937"/>
          <w:color w:val="231F20"/>
          <w:sz w:val="10"/>
          <w:szCs w:val="10"/>
        </w:rPr>
        <w:t>of ketamine. Coronal sections of the mouse brain are taken displayed for (</w:t>
      </w:r>
      <w:r w:rsidRPr="00184D7E">
        <w:rPr>
          <w:rFonts w:ascii="AdvP193F" w:hAnsi="AdvP193F" w:cs="AdvP193F"/>
          <w:color w:val="231F20"/>
          <w:sz w:val="10"/>
          <w:szCs w:val="10"/>
        </w:rPr>
        <w:t>A</w:t>
      </w:r>
      <w:r w:rsidRPr="00184D7E">
        <w:rPr>
          <w:rFonts w:ascii="AdvP1937" w:hAnsi="AdvP1937" w:cs="AdvP1937"/>
          <w:color w:val="231F20"/>
          <w:sz w:val="10"/>
          <w:szCs w:val="10"/>
        </w:rPr>
        <w:t>) ventral hippocampus, (</w:t>
      </w:r>
      <w:r w:rsidRPr="00184D7E">
        <w:rPr>
          <w:rFonts w:ascii="AdvP193F" w:hAnsi="AdvP193F" w:cs="AdvP193F"/>
          <w:color w:val="231F20"/>
          <w:sz w:val="10"/>
          <w:szCs w:val="10"/>
        </w:rPr>
        <w:t>B</w:t>
      </w:r>
      <w:r w:rsidRPr="00184D7E">
        <w:rPr>
          <w:rFonts w:ascii="AdvP1937" w:hAnsi="AdvP1937" w:cs="AdvP1937"/>
          <w:color w:val="231F20"/>
          <w:sz w:val="10"/>
          <w:szCs w:val="10"/>
        </w:rPr>
        <w:t>) medial prefrontal cortex, and (</w:t>
      </w:r>
      <w:r w:rsidRPr="00184D7E">
        <w:rPr>
          <w:rFonts w:ascii="AdvP193F" w:hAnsi="AdvP193F" w:cs="AdvP193F"/>
          <w:color w:val="231F20"/>
          <w:sz w:val="10"/>
          <w:szCs w:val="10"/>
        </w:rPr>
        <w:t>C</w:t>
      </w:r>
      <w:r w:rsidRPr="00184D7E">
        <w:rPr>
          <w:rFonts w:ascii="AdvP1937" w:hAnsi="AdvP1937" w:cs="AdvP1937"/>
          <w:color w:val="231F20"/>
          <w:sz w:val="10"/>
          <w:szCs w:val="10"/>
        </w:rPr>
        <w:t>)</w:t>
      </w:r>
      <w:r>
        <w:rPr>
          <w:rFonts w:ascii="AdvP1937" w:hAnsi="AdvP1937" w:cs="AdvP1937"/>
          <w:color w:val="231F20"/>
          <w:sz w:val="10"/>
          <w:szCs w:val="10"/>
        </w:rPr>
        <w:t xml:space="preserve"> </w:t>
      </w:r>
      <w:r w:rsidRPr="00184D7E">
        <w:rPr>
          <w:rFonts w:ascii="AdvP1937" w:hAnsi="AdvP1937" w:cs="AdvP1937"/>
          <w:color w:val="231F20"/>
          <w:sz w:val="10"/>
          <w:szCs w:val="10"/>
        </w:rPr>
        <w:t>DRN. (vHC-mPFC-DRN) neuronal pathway is marked by the line connecting these sections. The location of the coronal sections on rostrocaudal</w:t>
      </w:r>
      <w:r>
        <w:rPr>
          <w:rFonts w:ascii="AdvP1937" w:hAnsi="AdvP1937" w:cs="AdvP1937"/>
          <w:color w:val="231F20"/>
          <w:sz w:val="10"/>
          <w:szCs w:val="10"/>
        </w:rPr>
        <w:t xml:space="preserve"> </w:t>
      </w:r>
      <w:r w:rsidRPr="00184D7E">
        <w:rPr>
          <w:rFonts w:ascii="AdvP1937" w:hAnsi="AdvP1937" w:cs="AdvP1937"/>
          <w:color w:val="231F20"/>
          <w:sz w:val="10"/>
          <w:szCs w:val="10"/>
        </w:rPr>
        <w:t>axis is marked below on the medial sagittal section. All cresyl violet-stained pictures are taken from the reference adult (P56) mouse</w:t>
      </w:r>
      <w:r>
        <w:rPr>
          <w:rFonts w:ascii="AdvP1937" w:hAnsi="AdvP1937" w:cs="AdvP1937"/>
          <w:color w:val="231F20"/>
          <w:sz w:val="10"/>
          <w:szCs w:val="10"/>
        </w:rPr>
        <w:t xml:space="preserve"> </w:t>
      </w:r>
      <w:r w:rsidRPr="00184D7E">
        <w:rPr>
          <w:rFonts w:ascii="AdvP1937" w:hAnsi="AdvP1937" w:cs="AdvP1937"/>
          <w:color w:val="231F20"/>
          <w:sz w:val="10"/>
          <w:szCs w:val="10"/>
        </w:rPr>
        <w:t>brain atlas (http://atlas.brain-map.org/). [Color figure can be viewed at wileyonlinelibrary.com]</w:t>
      </w:r>
      <w:r>
        <w:rPr>
          <w:rFonts w:ascii="Arial"/>
          <w:b/>
          <w:color w:val="BF5A14"/>
          <w:sz w:val="20"/>
        </w:rPr>
        <w:br/>
      </w:r>
    </w:p>
    <w:p w:rsidR="00412E23" w:rsidRDefault="00412E23" w:rsidP="00184D7E">
      <w:pPr>
        <w:widowControl/>
        <w:autoSpaceDE w:val="0"/>
        <w:autoSpaceDN w:val="0"/>
        <w:adjustRightInd w:val="0"/>
        <w:rPr>
          <w:rFonts w:ascii="Arial"/>
          <w:b/>
          <w:sz w:val="20"/>
        </w:rPr>
      </w:pPr>
      <w:r>
        <w:rPr>
          <w:rFonts w:ascii="Arial" w:eastAsia="Times New Roman"/>
          <w:b/>
          <w:color w:val="BF5A14"/>
          <w:sz w:val="20"/>
        </w:rPr>
        <w:t>Recent Publications</w:t>
      </w:r>
    </w:p>
    <w:p w:rsidR="00412E23" w:rsidRDefault="00412E23" w:rsidP="005973B9">
      <w:pPr>
        <w:pStyle w:val="ListParagraph"/>
        <w:numPr>
          <w:ilvl w:val="0"/>
          <w:numId w:val="3"/>
        </w:numPr>
        <w:tabs>
          <w:tab w:val="left" w:pos="384"/>
        </w:tabs>
        <w:spacing w:before="103" w:line="216" w:lineRule="exact"/>
        <w:ind w:right="138" w:hanging="283"/>
        <w:rPr>
          <w:sz w:val="18"/>
        </w:rPr>
      </w:pPr>
      <w:r w:rsidRPr="003D46A6">
        <w:rPr>
          <w:b/>
          <w:sz w:val="18"/>
        </w:rPr>
        <w:t>Pešić V</w:t>
      </w:r>
      <w:r>
        <w:rPr>
          <w:sz w:val="18"/>
        </w:rPr>
        <w:t>, Petrović J, Jukić MM (2016) Molecular mechanism and clinical relevance of ketamine as rapid-acting antidepressant</w:t>
      </w:r>
      <w:r w:rsidRPr="005973B9">
        <w:rPr>
          <w:sz w:val="18"/>
        </w:rPr>
        <w:t xml:space="preserve">. </w:t>
      </w:r>
      <w:r>
        <w:rPr>
          <w:sz w:val="18"/>
        </w:rPr>
        <w:t>Drug Development Research 77</w:t>
      </w:r>
      <w:r w:rsidRPr="005973B9">
        <w:rPr>
          <w:sz w:val="18"/>
        </w:rPr>
        <w:t>:</w:t>
      </w:r>
      <w:r>
        <w:rPr>
          <w:sz w:val="18"/>
        </w:rPr>
        <w:t>414-422.</w:t>
      </w:r>
    </w:p>
    <w:p w:rsidR="00412E23" w:rsidRDefault="00412E23" w:rsidP="005973B9">
      <w:pPr>
        <w:pStyle w:val="ListParagraph"/>
        <w:numPr>
          <w:ilvl w:val="0"/>
          <w:numId w:val="3"/>
        </w:numPr>
        <w:tabs>
          <w:tab w:val="left" w:pos="384"/>
        </w:tabs>
        <w:spacing w:line="216" w:lineRule="exact"/>
        <w:ind w:right="137" w:hanging="283"/>
        <w:rPr>
          <w:sz w:val="18"/>
        </w:rPr>
      </w:pPr>
      <w:r w:rsidRPr="003D46A6">
        <w:rPr>
          <w:b/>
          <w:sz w:val="18"/>
        </w:rPr>
        <w:t>Pešić V</w:t>
      </w:r>
      <w:r>
        <w:rPr>
          <w:sz w:val="18"/>
        </w:rPr>
        <w:t>, Jukić MM (2016) Are adult neurogenesis and glucocorticoid signaling missing links between stress and depression? Arh Farm 66:207-216.</w:t>
      </w:r>
    </w:p>
    <w:p w:rsidR="00412E23" w:rsidRDefault="00412E23" w:rsidP="005973B9">
      <w:pPr>
        <w:pStyle w:val="ListParagraph"/>
        <w:numPr>
          <w:ilvl w:val="0"/>
          <w:numId w:val="3"/>
        </w:numPr>
        <w:tabs>
          <w:tab w:val="left" w:pos="384"/>
        </w:tabs>
        <w:spacing w:line="216" w:lineRule="exact"/>
        <w:ind w:right="138" w:hanging="283"/>
        <w:rPr>
          <w:sz w:val="18"/>
        </w:rPr>
      </w:pPr>
      <w:r>
        <w:rPr>
          <w:sz w:val="18"/>
        </w:rPr>
        <w:t xml:space="preserve">Stanić D, Plećaš-Solarović B, Mirković D, Jovanović P, Dronjak S, Marković B, Đorđević T, Ignjatović S, </w:t>
      </w:r>
      <w:r w:rsidRPr="003D46A6">
        <w:rPr>
          <w:b/>
          <w:sz w:val="18"/>
        </w:rPr>
        <w:t>Pešić V</w:t>
      </w:r>
      <w:r>
        <w:rPr>
          <w:sz w:val="18"/>
        </w:rPr>
        <w:t xml:space="preserve"> (2017) Oxytocin in  corticosterone-induced chronic stress model: focus on adrenal gland function. Psychoneuroendocrinology </w:t>
      </w:r>
      <w:r w:rsidRPr="0027074B">
        <w:rPr>
          <w:i/>
          <w:sz w:val="18"/>
        </w:rPr>
        <w:t>in press</w:t>
      </w:r>
      <w:r>
        <w:rPr>
          <w:i/>
          <w:sz w:val="18"/>
        </w:rPr>
        <w:t>.</w:t>
      </w:r>
    </w:p>
    <w:p w:rsidR="00412E23" w:rsidRDefault="00412E23" w:rsidP="005973B9">
      <w:pPr>
        <w:pStyle w:val="ListParagraph"/>
        <w:numPr>
          <w:ilvl w:val="0"/>
          <w:numId w:val="3"/>
        </w:numPr>
        <w:tabs>
          <w:tab w:val="left" w:pos="384"/>
        </w:tabs>
        <w:spacing w:before="92" w:line="218" w:lineRule="exact"/>
        <w:ind w:hanging="283"/>
        <w:rPr>
          <w:sz w:val="18"/>
        </w:rPr>
      </w:pPr>
      <w:r>
        <w:rPr>
          <w:sz w:val="18"/>
        </w:rPr>
        <w:t xml:space="preserve">Petrović J, Stanić D, Dmitrašinović G, Plećaš-Solarović B, Ignjatović S, Batinić B, Popović D, </w:t>
      </w:r>
      <w:r w:rsidRPr="003D46A6">
        <w:rPr>
          <w:b/>
          <w:sz w:val="18"/>
        </w:rPr>
        <w:t>Pešić V</w:t>
      </w:r>
      <w:r>
        <w:rPr>
          <w:sz w:val="18"/>
        </w:rPr>
        <w:t xml:space="preserve"> (2016) Magnesium supplementation diminishes peripheral blood lymphocyte DNA oxidative damage in athletes and sedentary young man Oxidative Medicine and Cellular Longevity </w:t>
      </w:r>
      <w:r>
        <w:rPr>
          <w:rFonts w:ascii="MinionPro-Regular" w:hAnsi="MinionPro-Regular" w:cs="MinionPro-Regular"/>
          <w:sz w:val="16"/>
          <w:szCs w:val="16"/>
        </w:rPr>
        <w:t>http://dx.doi.org/10.1155/2016/2019643.</w:t>
      </w:r>
    </w:p>
    <w:p w:rsidR="00412E23" w:rsidRDefault="00412E23" w:rsidP="005973B9">
      <w:pPr>
        <w:pStyle w:val="BodyText"/>
        <w:spacing w:before="85" w:line="216" w:lineRule="exact"/>
        <w:ind w:left="383" w:right="138" w:hanging="284"/>
        <w:jc w:val="both"/>
        <w:rPr>
          <w:rFonts w:ascii="Calibri" w:hAnsi="Calibri"/>
        </w:rPr>
      </w:pPr>
      <w:r>
        <w:rPr>
          <w:rFonts w:ascii="Calibri" w:hAnsi="Calibri"/>
        </w:rPr>
        <w:t xml:space="preserve">5. </w:t>
      </w:r>
      <w:r>
        <w:rPr>
          <w:rFonts w:ascii="Calibri" w:hAnsi="Calibri" w:cs="Calibri"/>
        </w:rPr>
        <w:t>Stanić D,</w:t>
      </w:r>
      <w:r w:rsidRPr="0027074B">
        <w:rPr>
          <w:rFonts w:ascii="Calibri" w:hAnsi="Calibri" w:cs="Calibri"/>
        </w:rPr>
        <w:t xml:space="preserve"> Plećaš-Solarović B, Petrović J,</w:t>
      </w:r>
      <w:r>
        <w:rPr>
          <w:rFonts w:ascii="Calibri" w:hAnsi="Calibri" w:cs="Calibri"/>
        </w:rPr>
        <w:t xml:space="preserve"> Bogavac-Stanojević N, Sopić M, Kotur-Stevuljević J, Ignjatović S,</w:t>
      </w:r>
      <w:r w:rsidRPr="0027074B">
        <w:rPr>
          <w:rFonts w:ascii="Calibri" w:hAnsi="Calibri" w:cs="Calibri"/>
        </w:rPr>
        <w:t xml:space="preserve"> </w:t>
      </w:r>
      <w:r w:rsidRPr="003D46A6">
        <w:rPr>
          <w:rFonts w:ascii="Calibri" w:hAnsi="Calibri" w:cs="Calibri"/>
          <w:b/>
        </w:rPr>
        <w:t>Pešić V</w:t>
      </w:r>
      <w:r>
        <w:t xml:space="preserve"> </w:t>
      </w:r>
      <w:r>
        <w:rPr>
          <w:rFonts w:ascii="Calibri" w:hAnsi="Calibri"/>
        </w:rPr>
        <w:t>(2016) Hydrogen peroxide-induced oxidative damage in peripheral blood lymphocytes from rats chronically treated with corticosterone: The protective effect of oxytocin treatment. Chemico-Biological Interactions 256:134-141.</w:t>
      </w:r>
    </w:p>
    <w:p w:rsidR="00412E23" w:rsidRPr="008756E6" w:rsidRDefault="00412E23" w:rsidP="008756E6">
      <w:pPr>
        <w:tabs>
          <w:tab w:val="left" w:pos="384"/>
        </w:tabs>
        <w:ind w:right="117"/>
      </w:pPr>
    </w:p>
    <w:p w:rsidR="00412E23" w:rsidRDefault="00412E23">
      <w:pPr>
        <w:spacing w:line="200" w:lineRule="exact"/>
        <w:jc w:val="both"/>
        <w:rPr>
          <w:rFonts w:ascii="Calibri" w:hAnsi="Calibri"/>
        </w:rPr>
        <w:sectPr w:rsidR="00412E23">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412E23" w:rsidRDefault="00412E23">
      <w:pPr>
        <w:pStyle w:val="BodyText"/>
        <w:rPr>
          <w:rFonts w:ascii="Calibri"/>
          <w:sz w:val="20"/>
        </w:rPr>
      </w:pPr>
    </w:p>
    <w:p w:rsidR="00412E23" w:rsidRDefault="00A8360A">
      <w:pPr>
        <w:pStyle w:val="BodyText"/>
        <w:spacing w:line="40" w:lineRule="exact"/>
        <w:ind w:left="2202"/>
        <w:rPr>
          <w:rFonts w:ascii="Calibri"/>
          <w:sz w:val="4"/>
        </w:rPr>
      </w:pPr>
      <w:r>
        <w:rPr>
          <w:rFonts w:ascii="Calibri"/>
          <w:noProof/>
          <w:sz w:val="4"/>
          <w:lang w:val="sr-Latn-RS" w:eastAsia="sr-Latn-RS"/>
        </w:rPr>
        <mc:AlternateContent>
          <mc:Choice Requires="wpg">
            <w:drawing>
              <wp:inline distT="0" distB="0" distL="0" distR="0">
                <wp:extent cx="3975735" cy="25400"/>
                <wp:effectExtent l="0" t="0" r="5715" b="317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CJ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G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vy4CJ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412E23" w:rsidRDefault="00412E23" w:rsidP="00404E5B">
      <w:pPr>
        <w:spacing w:before="92"/>
        <w:ind w:right="4234"/>
        <w:rPr>
          <w:rFonts w:ascii="Arial"/>
        </w:rPr>
      </w:pPr>
      <w:r>
        <w:rPr>
          <w:noProof/>
        </w:rPr>
        <w:lastRenderedPageBreak/>
        <w:t xml:space="preserve">         </w:t>
      </w:r>
      <w:r>
        <w:object w:dxaOrig="9202" w:dyaOrig="9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92.25pt" o:ole="">
            <v:imagedata r:id="rId11" o:title=""/>
          </v:shape>
          <o:OLEObject Type="Embed" ProgID="Unknown" ShapeID="_x0000_i1025" DrawAspect="Content" ObjectID="_1550637152" r:id="rId12"/>
        </w:object>
      </w:r>
      <w:r>
        <w:rPr>
          <w:noProof/>
        </w:rPr>
        <w:t xml:space="preserve">     </w:t>
      </w:r>
      <w:r>
        <w:rPr>
          <w:rFonts w:ascii="Arial" w:eastAsia="Times New Roman"/>
          <w:color w:val="BF5A14"/>
        </w:rPr>
        <w:t>Biography</w:t>
      </w:r>
    </w:p>
    <w:p w:rsidR="00412E23" w:rsidRDefault="00412E23" w:rsidP="00DA2D61">
      <w:pPr>
        <w:spacing w:before="41"/>
        <w:ind w:left="213" w:right="231"/>
        <w:jc w:val="both"/>
        <w:rPr>
          <w:rFonts w:ascii="Calibri" w:hAnsi="Calibri" w:cs="Calibri"/>
          <w:sz w:val="20"/>
          <w:szCs w:val="20"/>
        </w:rPr>
      </w:pPr>
      <w:r w:rsidRPr="00DA2D61">
        <w:rPr>
          <w:rFonts w:ascii="Calibri" w:hAnsi="Calibri" w:cs="Calibri"/>
          <w:sz w:val="20"/>
          <w:szCs w:val="20"/>
        </w:rPr>
        <w:t>Vesna Pešić is currently working on experimental models of depression, chronic stress and dysregulation of the hypothalamic-pituitary-adrenocortical (HPA) axis activity and functionality</w:t>
      </w:r>
      <w:r>
        <w:rPr>
          <w:rFonts w:ascii="Calibri" w:hAnsi="Calibri" w:cs="Calibri"/>
          <w:sz w:val="20"/>
          <w:szCs w:val="20"/>
        </w:rPr>
        <w:t xml:space="preserve">. Her research team is exploring potential novel and adjacent therapy that could, along with classical antidepressants, help in restoring normal hormonal and behavioral activity. Her expertise covers behavioral testing, neuroendocrinology, immunohistochemistry, neurogenesis, and antioxidative properties of hormones in animal and human studies. She teaches and works at the Department of Physiology, </w:t>
      </w:r>
      <w:smartTag w:uri="urn:schemas-microsoft-com:office:smarttags" w:element="PlaceType">
        <w:r>
          <w:rPr>
            <w:rFonts w:ascii="Calibri" w:hAnsi="Calibri" w:cs="Calibri"/>
            <w:sz w:val="20"/>
            <w:szCs w:val="20"/>
          </w:rPr>
          <w:t>University</w:t>
        </w:r>
      </w:smartTag>
      <w:r>
        <w:rPr>
          <w:rFonts w:ascii="Calibri" w:hAnsi="Calibri" w:cs="Calibri"/>
          <w:sz w:val="20"/>
          <w:szCs w:val="20"/>
        </w:rPr>
        <w:t xml:space="preserve"> of </w:t>
      </w:r>
      <w:smartTag w:uri="urn:schemas-microsoft-com:office:smarttags" w:element="PlaceName">
        <w:r>
          <w:rPr>
            <w:rFonts w:ascii="Calibri" w:hAnsi="Calibri" w:cs="Calibri"/>
            <w:sz w:val="20"/>
            <w:szCs w:val="20"/>
          </w:rPr>
          <w:t>Belgrade</w:t>
        </w:r>
      </w:smartTag>
      <w:r>
        <w:rPr>
          <w:rFonts w:ascii="Calibri" w:hAnsi="Calibri" w:cs="Calibri"/>
          <w:sz w:val="20"/>
          <w:szCs w:val="20"/>
        </w:rPr>
        <w:t xml:space="preserve">, Faculty of Pharmacy, </w:t>
      </w:r>
      <w:smartTag w:uri="urn:schemas-microsoft-com:office:smarttags" w:element="City">
        <w:smartTag w:uri="urn:schemas-microsoft-com:office:smarttags" w:element="place">
          <w:r>
            <w:rPr>
              <w:rFonts w:ascii="Calibri" w:hAnsi="Calibri" w:cs="Calibri"/>
              <w:sz w:val="20"/>
              <w:szCs w:val="20"/>
            </w:rPr>
            <w:t>Belgrade</w:t>
          </w:r>
        </w:smartTag>
      </w:smartTag>
      <w:r>
        <w:rPr>
          <w:rFonts w:ascii="Calibri" w:hAnsi="Calibri" w:cs="Calibri"/>
          <w:sz w:val="20"/>
          <w:szCs w:val="20"/>
        </w:rPr>
        <w:t>.</w:t>
      </w:r>
    </w:p>
    <w:p w:rsidR="00412E23" w:rsidRDefault="00412E23">
      <w:pPr>
        <w:spacing w:before="62"/>
        <w:ind w:left="4217" w:right="4235"/>
        <w:jc w:val="center"/>
        <w:rPr>
          <w:rFonts w:ascii="Arial" w:hAnsi="Arial" w:cs="Arial"/>
          <w:sz w:val="16"/>
          <w:szCs w:val="16"/>
        </w:rPr>
      </w:pPr>
    </w:p>
    <w:p w:rsidR="00412E23" w:rsidRDefault="00412E23">
      <w:pPr>
        <w:spacing w:before="62"/>
        <w:ind w:left="4217" w:right="4235"/>
        <w:jc w:val="center"/>
        <w:rPr>
          <w:rFonts w:ascii="Arial"/>
          <w:sz w:val="14"/>
        </w:rPr>
      </w:pPr>
      <w:r>
        <w:rPr>
          <w:rFonts w:ascii="Arial" w:hAnsi="Arial" w:cs="Arial"/>
          <w:sz w:val="16"/>
          <w:szCs w:val="16"/>
        </w:rPr>
        <w:t xml:space="preserve">E-mail: </w:t>
      </w:r>
      <w:hyperlink r:id="rId13" w:history="1">
        <w:r w:rsidRPr="00B7493C">
          <w:rPr>
            <w:rStyle w:val="Hyperlink"/>
            <w:rFonts w:ascii="Arial" w:hAnsi="Arial" w:cs="Arial"/>
            <w:sz w:val="16"/>
            <w:szCs w:val="16"/>
          </w:rPr>
          <w:t>vepesic@</w:t>
        </w:r>
      </w:hyperlink>
      <w:r w:rsidRPr="00B7493C">
        <w:rPr>
          <w:rFonts w:ascii="Arial" w:hAnsi="Arial" w:cs="Arial"/>
          <w:sz w:val="16"/>
          <w:szCs w:val="16"/>
        </w:rPr>
        <w:t>pharmacy.bg.ac.rs</w:t>
      </w:r>
    </w:p>
    <w:p w:rsidR="00412E23" w:rsidRDefault="00A8360A">
      <w:pPr>
        <w:pStyle w:val="BodyText"/>
        <w:spacing w:before="2"/>
        <w:rPr>
          <w:rFonts w:ascii="Arial"/>
          <w:sz w:val="19"/>
        </w:rPr>
      </w:pPr>
      <w:r>
        <w:rPr>
          <w:noProof/>
          <w:lang w:val="sr-Latn-RS" w:eastAsia="sr-Latn-RS"/>
        </w:rPr>
        <mc:AlternateContent>
          <mc:Choice Requires="wps">
            <w:drawing>
              <wp:anchor distT="4294967295" distB="4294967295" distL="0" distR="0" simplePos="0" relativeHeight="251658240"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412E23" w:rsidRDefault="00412E23">
      <w:pPr>
        <w:pStyle w:val="BodyText"/>
        <w:rPr>
          <w:rFonts w:ascii="Arial"/>
          <w:sz w:val="20"/>
        </w:rPr>
      </w:pPr>
    </w:p>
    <w:p w:rsidR="00412E23" w:rsidRDefault="00412E23">
      <w:pPr>
        <w:pStyle w:val="BodyText"/>
        <w:rPr>
          <w:rFonts w:ascii="Arial"/>
          <w:sz w:val="20"/>
        </w:rPr>
      </w:pPr>
    </w:p>
    <w:p w:rsidR="00412E23" w:rsidRDefault="00412E23">
      <w:pPr>
        <w:pStyle w:val="BodyText"/>
        <w:spacing w:before="7"/>
        <w:rPr>
          <w:rFonts w:ascii="Arial"/>
          <w:sz w:val="29"/>
        </w:rPr>
      </w:pPr>
    </w:p>
    <w:p w:rsidR="00412E23" w:rsidRPr="00B21A57" w:rsidRDefault="00412E23">
      <w:pPr>
        <w:spacing w:before="39"/>
        <w:ind w:left="100"/>
        <w:rPr>
          <w:rFonts w:ascii="Minion Pro" w:eastAsia="Times New Roman"/>
          <w:b/>
          <w:sz w:val="20"/>
        </w:rPr>
      </w:pPr>
      <w:r w:rsidRPr="00B21A57">
        <w:rPr>
          <w:rFonts w:ascii="Minion Pro" w:eastAsia="Times New Roman"/>
          <w:b/>
          <w:sz w:val="20"/>
        </w:rPr>
        <w:t>Notes/Comments:</w:t>
      </w:r>
    </w:p>
    <w:p w:rsidR="00412E23" w:rsidRDefault="00412E23">
      <w:pPr>
        <w:rPr>
          <w:rFonts w:ascii="Minion Pro"/>
          <w:sz w:val="24"/>
        </w:rPr>
        <w:sectPr w:rsidR="00412E23">
          <w:type w:val="continuous"/>
          <w:pgSz w:w="11910" w:h="16840"/>
          <w:pgMar w:top="1740" w:right="600" w:bottom="840" w:left="620" w:header="720" w:footer="720" w:gutter="0"/>
          <w:cols w:space="720"/>
        </w:sectPr>
      </w:pPr>
    </w:p>
    <w:p w:rsidR="00412E23" w:rsidRDefault="00412E23">
      <w:pPr>
        <w:pStyle w:val="BodyText"/>
        <w:spacing w:before="3"/>
        <w:rPr>
          <w:rFonts w:ascii="Minion Pro"/>
          <w:sz w:val="26"/>
        </w:rPr>
      </w:pPr>
    </w:p>
    <w:sectPr w:rsidR="00412E2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99F" w:rsidRDefault="00C4799F">
      <w:r>
        <w:separator/>
      </w:r>
    </w:p>
  </w:endnote>
  <w:endnote w:type="continuationSeparator" w:id="0">
    <w:p w:rsidR="00C4799F" w:rsidRDefault="00C47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AdvP193F">
    <w:altName w:val="Arial"/>
    <w:panose1 w:val="00000000000000000000"/>
    <w:charset w:val="00"/>
    <w:family w:val="swiss"/>
    <w:notTrueType/>
    <w:pitch w:val="default"/>
    <w:sig w:usb0="00000003" w:usb1="00000000" w:usb2="00000000" w:usb3="00000000" w:csb0="00000001" w:csb1="00000000"/>
  </w:font>
  <w:font w:name="AdvP1937">
    <w:altName w:val="Arial"/>
    <w:panose1 w:val="00000000000000000000"/>
    <w:charset w:val="00"/>
    <w:family w:val="swiss"/>
    <w:notTrueType/>
    <w:pitch w:val="default"/>
    <w:sig w:usb0="00000003" w:usb1="00000000" w:usb2="00000000" w:usb3="00000000" w:csb0="00000001" w:csb1="00000000"/>
  </w:font>
  <w:font w:name="MinionPro-Regular">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E23" w:rsidRDefault="00A8360A">
    <w:pPr>
      <w:pStyle w:val="BodyText"/>
      <w:spacing w:line="14" w:lineRule="auto"/>
      <w:rPr>
        <w:sz w:val="20"/>
      </w:rPr>
    </w:pPr>
    <w:r>
      <w:rPr>
        <w:noProof/>
        <w:lang w:val="sr-Latn-RS" w:eastAsia="sr-Latn-RS"/>
      </w:rPr>
      <mc:AlternateContent>
        <mc:Choice Requires="wps">
          <w:drawing>
            <wp:anchor distT="0" distB="0" distL="114300" distR="114300" simplePos="0" relativeHeight="251663360"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2E23" w:rsidRPr="002E7BC2" w:rsidRDefault="00412E23">
                          <w:pPr>
                            <w:spacing w:line="184" w:lineRule="exact"/>
                            <w:ind w:left="20" w:right="-12"/>
                            <w:rPr>
                              <w:rFonts w:ascii="Arial" w:eastAsia="Times New Roman"/>
                              <w:color w:val="FFFFFF"/>
                              <w:sz w:val="16"/>
                            </w:rPr>
                          </w:pPr>
                          <w:r w:rsidRPr="002E7BC2">
                            <w:rPr>
                              <w:rFonts w:ascii="Arial" w:eastAsia="Times New Roman"/>
                              <w:color w:val="FFFFFF"/>
                              <w:sz w:val="16"/>
                            </w:rPr>
                            <w:t>J Pain Relief</w:t>
                          </w:r>
                        </w:p>
                        <w:p w:rsidR="00412E23" w:rsidRPr="002E7BC2" w:rsidRDefault="00412E23">
                          <w:pPr>
                            <w:spacing w:before="8"/>
                            <w:ind w:left="20" w:right="-12"/>
                            <w:rPr>
                              <w:rFonts w:ascii="Arial" w:eastAsia="Times New Roman"/>
                              <w:color w:val="FFFFFF"/>
                              <w:sz w:val="16"/>
                            </w:rPr>
                          </w:pPr>
                          <w:r w:rsidRPr="002E7BC2">
                            <w:rPr>
                              <w:rFonts w:ascii="Arial" w:eastAsia="Times New Roman"/>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12E23" w:rsidRPr="002E7BC2" w:rsidRDefault="00412E23">
                    <w:pPr>
                      <w:spacing w:line="184" w:lineRule="exact"/>
                      <w:ind w:left="20" w:right="-12"/>
                      <w:rPr>
                        <w:rFonts w:ascii="Arial" w:eastAsia="Times New Roman"/>
                        <w:color w:val="FFFFFF"/>
                        <w:sz w:val="16"/>
                      </w:rPr>
                    </w:pPr>
                    <w:r w:rsidRPr="002E7BC2">
                      <w:rPr>
                        <w:rFonts w:ascii="Arial" w:eastAsia="Times New Roman"/>
                        <w:color w:val="FFFFFF"/>
                        <w:sz w:val="16"/>
                      </w:rPr>
                      <w:t>J Pain Relief</w:t>
                    </w:r>
                  </w:p>
                  <w:p w:rsidR="00412E23" w:rsidRPr="002E7BC2" w:rsidRDefault="00412E23">
                    <w:pPr>
                      <w:spacing w:before="8"/>
                      <w:ind w:left="20" w:right="-12"/>
                      <w:rPr>
                        <w:rFonts w:ascii="Arial" w:eastAsia="Times New Roman"/>
                        <w:color w:val="FFFFFF"/>
                        <w:sz w:val="16"/>
                      </w:rPr>
                    </w:pPr>
                    <w:r w:rsidRPr="002E7BC2">
                      <w:rPr>
                        <w:rFonts w:ascii="Arial" w:eastAsia="Times New Roman"/>
                        <w:color w:val="FFFFFF"/>
                        <w:sz w:val="16"/>
                      </w:rPr>
                      <w:t>ISSN: 2167-0846 JPAR an open access journa</w:t>
                    </w:r>
                  </w:p>
                </w:txbxContent>
              </v:textbox>
              <w10:wrap anchorx="page" anchory="page"/>
            </v:shape>
          </w:pict>
        </mc:Fallback>
      </mc:AlternateContent>
    </w:r>
    <w:r>
      <w:rPr>
        <w:noProof/>
        <w:lang w:val="sr-Latn-RS" w:eastAsia="sr-Latn-RS"/>
      </w:rPr>
      <mc:AlternateContent>
        <mc:Choice Requires="wps">
          <w:drawing>
            <wp:anchor distT="0" distB="0" distL="114300" distR="114300" simplePos="0" relativeHeight="251664384"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2E23" w:rsidRPr="002E7BC2" w:rsidRDefault="00412E23">
                          <w:pPr>
                            <w:spacing w:line="269" w:lineRule="exact"/>
                            <w:jc w:val="center"/>
                            <w:rPr>
                              <w:rFonts w:ascii="Impact" w:eastAsia="Times New Roman"/>
                              <w:color w:val="FFFFFF"/>
                              <w:sz w:val="24"/>
                            </w:rPr>
                          </w:pPr>
                          <w:r w:rsidRPr="002E7BC2">
                            <w:rPr>
                              <w:rFonts w:ascii="Impact" w:eastAsia="Times New Roman"/>
                              <w:color w:val="FFFFFF"/>
                              <w:sz w:val="24"/>
                            </w:rPr>
                            <w:t>Fibromyalgia 2016</w:t>
                          </w:r>
                        </w:p>
                        <w:p w:rsidR="00412E23" w:rsidRPr="002E7BC2" w:rsidRDefault="00412E23">
                          <w:pPr>
                            <w:spacing w:before="29"/>
                            <w:jc w:val="center"/>
                            <w:rPr>
                              <w:rFonts w:ascii="Arial" w:eastAsia="Times New Roman"/>
                              <w:color w:val="FFFFFF"/>
                              <w:sz w:val="16"/>
                            </w:rPr>
                          </w:pPr>
                          <w:r w:rsidRPr="002E7BC2">
                            <w:rPr>
                              <w:rFonts w:ascii="Arial" w:eastAsia="Times New Roman"/>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12E23" w:rsidRPr="002E7BC2" w:rsidRDefault="00412E23">
                    <w:pPr>
                      <w:spacing w:line="269" w:lineRule="exact"/>
                      <w:jc w:val="center"/>
                      <w:rPr>
                        <w:rFonts w:ascii="Impact" w:eastAsia="Times New Roman"/>
                        <w:color w:val="FFFFFF"/>
                        <w:sz w:val="24"/>
                      </w:rPr>
                    </w:pPr>
                    <w:r w:rsidRPr="002E7BC2">
                      <w:rPr>
                        <w:rFonts w:ascii="Impact" w:eastAsia="Times New Roman"/>
                        <w:color w:val="FFFFFF"/>
                        <w:sz w:val="24"/>
                      </w:rPr>
                      <w:t>Fibromyalgia 2016</w:t>
                    </w:r>
                  </w:p>
                  <w:p w:rsidR="00412E23" w:rsidRPr="002E7BC2" w:rsidRDefault="00412E23">
                    <w:pPr>
                      <w:spacing w:before="29"/>
                      <w:jc w:val="center"/>
                      <w:rPr>
                        <w:rFonts w:ascii="Arial" w:eastAsia="Times New Roman"/>
                        <w:color w:val="FFFFFF"/>
                        <w:sz w:val="16"/>
                      </w:rPr>
                    </w:pPr>
                    <w:r w:rsidRPr="002E7BC2">
                      <w:rPr>
                        <w:rFonts w:ascii="Arial" w:eastAsia="Times New Roman"/>
                        <w:color w:val="FFFFFF"/>
                        <w:sz w:val="16"/>
                      </w:rPr>
                      <w:t>June 15-16, 2016</w:t>
                    </w:r>
                  </w:p>
                </w:txbxContent>
              </v:textbox>
              <w10:wrap anchorx="page" anchory="page"/>
            </v:shape>
          </w:pict>
        </mc:Fallback>
      </mc:AlternateContent>
    </w:r>
    <w:r>
      <w:rPr>
        <w:noProof/>
        <w:lang w:val="sr-Latn-RS" w:eastAsia="sr-Latn-RS"/>
      </w:rPr>
      <mc:AlternateContent>
        <mc:Choice Requires="wps">
          <w:drawing>
            <wp:anchor distT="0" distB="0" distL="114300" distR="114300" simplePos="0" relativeHeight="251665408"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2E23" w:rsidRPr="002E7BC2" w:rsidRDefault="00412E23">
                          <w:pPr>
                            <w:spacing w:line="184" w:lineRule="exact"/>
                            <w:ind w:right="18"/>
                            <w:jc w:val="right"/>
                            <w:rPr>
                              <w:rFonts w:ascii="Arial" w:eastAsia="Times New Roman"/>
                              <w:color w:val="FFFFFF"/>
                              <w:sz w:val="16"/>
                            </w:rPr>
                          </w:pPr>
                          <w:r w:rsidRPr="002E7BC2">
                            <w:rPr>
                              <w:rFonts w:ascii="Arial" w:eastAsia="Times New Roman"/>
                              <w:color w:val="FFFFFF"/>
                              <w:sz w:val="16"/>
                            </w:rPr>
                            <w:t>Volume 5, Issue 3(Suppl)</w:t>
                          </w:r>
                        </w:p>
                        <w:p w:rsidR="00412E23" w:rsidRPr="002E7BC2" w:rsidRDefault="00412E23">
                          <w:pPr>
                            <w:spacing w:before="116"/>
                            <w:ind w:right="18"/>
                            <w:jc w:val="right"/>
                            <w:rPr>
                              <w:rFonts w:ascii="Minion Pro" w:eastAsia="Times New Roman"/>
                              <w:color w:val="FFFFFF"/>
                              <w:sz w:val="16"/>
                            </w:rPr>
                          </w:pPr>
                          <w:r w:rsidRPr="002E7BC2">
                            <w:rPr>
                              <w:rFonts w:ascii="Minion Pro" w:eastAsia="Times New Roman"/>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12E23" w:rsidRPr="002E7BC2" w:rsidRDefault="00412E23">
                    <w:pPr>
                      <w:spacing w:line="184" w:lineRule="exact"/>
                      <w:ind w:right="18"/>
                      <w:jc w:val="right"/>
                      <w:rPr>
                        <w:rFonts w:ascii="Arial" w:eastAsia="Times New Roman"/>
                        <w:color w:val="FFFFFF"/>
                        <w:sz w:val="16"/>
                      </w:rPr>
                    </w:pPr>
                    <w:r w:rsidRPr="002E7BC2">
                      <w:rPr>
                        <w:rFonts w:ascii="Arial" w:eastAsia="Times New Roman"/>
                        <w:color w:val="FFFFFF"/>
                        <w:sz w:val="16"/>
                      </w:rPr>
                      <w:t>Volume 5, Issue 3(Suppl)</w:t>
                    </w:r>
                  </w:p>
                  <w:p w:rsidR="00412E23" w:rsidRPr="002E7BC2" w:rsidRDefault="00412E23">
                    <w:pPr>
                      <w:spacing w:before="116"/>
                      <w:ind w:right="18"/>
                      <w:jc w:val="right"/>
                      <w:rPr>
                        <w:rFonts w:ascii="Minion Pro" w:eastAsia="Times New Roman"/>
                        <w:color w:val="FFFFFF"/>
                        <w:sz w:val="16"/>
                      </w:rPr>
                    </w:pPr>
                    <w:r w:rsidRPr="002E7BC2">
                      <w:rPr>
                        <w:rFonts w:ascii="Minion Pro" w:eastAsia="Times New Roman"/>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99F" w:rsidRDefault="00C4799F">
      <w:r>
        <w:separator/>
      </w:r>
    </w:p>
  </w:footnote>
  <w:footnote w:type="continuationSeparator" w:id="0">
    <w:p w:rsidR="00C4799F" w:rsidRDefault="00C479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E23" w:rsidRDefault="00A8360A">
    <w:pPr>
      <w:pStyle w:val="BodyText"/>
      <w:spacing w:line="14" w:lineRule="auto"/>
      <w:rPr>
        <w:sz w:val="20"/>
      </w:rPr>
    </w:pPr>
    <w:r>
      <w:rPr>
        <w:noProof/>
        <w:lang w:val="sr-Latn-RS" w:eastAsia="sr-Latn-RS"/>
      </w:rPr>
      <mc:AlternateContent>
        <mc:Choice Requires="wps">
          <w:drawing>
            <wp:anchor distT="0" distB="0" distL="114300" distR="114300" simplePos="0" relativeHeight="251660288"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2E23" w:rsidRPr="002E7BC2" w:rsidRDefault="00412E23">
                          <w:pPr>
                            <w:spacing w:before="2" w:line="249" w:lineRule="auto"/>
                            <w:ind w:left="156" w:right="18" w:hanging="137"/>
                            <w:rPr>
                              <w:rFonts w:ascii="Arial"/>
                              <w:color w:val="FFFFFF"/>
                              <w:sz w:val="14"/>
                            </w:rPr>
                          </w:pPr>
                          <w:r w:rsidRPr="002E7BC2">
                            <w:rPr>
                              <w:rFonts w:ascii="Arial" w:eastAsia="Times New Roman"/>
                              <w:color w:val="FFFFFF"/>
                              <w:sz w:val="14"/>
                            </w:rPr>
                            <w:t xml:space="preserve">T Furuta et al., J Pai n Relief 2016, 5:3(Suppl) </w:t>
                          </w:r>
                          <w:hyperlink r:id="rId1">
                            <w:r w:rsidRPr="002E7BC2">
                              <w:rPr>
                                <w:rFonts w:ascii="Arial" w:eastAsia="Times New Roman"/>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12E23" w:rsidRPr="002E7BC2" w:rsidRDefault="00412E23">
                    <w:pPr>
                      <w:spacing w:before="2" w:line="249" w:lineRule="auto"/>
                      <w:ind w:left="156" w:right="18" w:hanging="137"/>
                      <w:rPr>
                        <w:rFonts w:ascii="Arial"/>
                        <w:color w:val="FFFFFF"/>
                        <w:sz w:val="14"/>
                      </w:rPr>
                    </w:pPr>
                    <w:r w:rsidRPr="002E7BC2">
                      <w:rPr>
                        <w:rFonts w:ascii="Arial" w:eastAsia="Times New Roman"/>
                        <w:color w:val="FFFFFF"/>
                        <w:sz w:val="14"/>
                      </w:rPr>
                      <w:t xml:space="preserve">T Furuta et al., J Pai n Relief 2016, 5:3(Suppl) </w:t>
                    </w:r>
                    <w:hyperlink r:id="rId2">
                      <w:r w:rsidRPr="002E7BC2">
                        <w:rPr>
                          <w:rFonts w:ascii="Arial" w:eastAsia="Times New Roman"/>
                          <w:color w:val="FFFFFF"/>
                          <w:sz w:val="14"/>
                        </w:rPr>
                        <w:t>http://dx.doi.org/10.4172/2167-0846.C1.006</w:t>
                      </w:r>
                    </w:hyperlink>
                  </w:p>
                </w:txbxContent>
              </v:textbox>
              <w10:wrap anchorx="page" anchory="page"/>
            </v:shape>
          </w:pict>
        </mc:Fallback>
      </mc:AlternateContent>
    </w:r>
    <w:r>
      <w:rPr>
        <w:noProof/>
        <w:lang w:val="sr-Latn-RS" w:eastAsia="sr-Latn-RS"/>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2E23" w:rsidRPr="002E7BC2" w:rsidRDefault="00412E23">
                          <w:pPr>
                            <w:pStyle w:val="BodyText"/>
                            <w:spacing w:line="187" w:lineRule="exact"/>
                            <w:ind w:left="20" w:right="-10"/>
                            <w:rPr>
                              <w:rFonts w:ascii="Myriad Pro" w:eastAsia="Times New Roman"/>
                              <w:color w:val="FFFFFF"/>
                            </w:rPr>
                          </w:pPr>
                          <w:r w:rsidRPr="002E7BC2">
                            <w:rPr>
                              <w:rFonts w:ascii="Myriad Pro" w:eastAsia="Times New Roman"/>
                              <w:color w:val="FFFFFF"/>
                            </w:rPr>
                            <w:t>International Conference on</w:t>
                          </w:r>
                        </w:p>
                        <w:p w:rsidR="00412E23" w:rsidRPr="002E7BC2" w:rsidRDefault="00412E23">
                          <w:pPr>
                            <w:spacing w:line="614" w:lineRule="exact"/>
                            <w:ind w:left="20" w:right="-10"/>
                            <w:rPr>
                              <w:rFonts w:ascii="Minion Pro" w:eastAsia="Times New Roman"/>
                              <w:color w:val="FFFFFF"/>
                              <w:sz w:val="24"/>
                            </w:rPr>
                          </w:pPr>
                          <w:r w:rsidRPr="002E7BC2">
                            <w:rPr>
                              <w:rFonts w:ascii="Impact" w:eastAsia="Times New Roman"/>
                              <w:color w:val="FFFFFF"/>
                              <w:sz w:val="52"/>
                            </w:rPr>
                            <w:t xml:space="preserve">Fibromyalgia and Chronic Pain </w:t>
                          </w:r>
                          <w:r w:rsidRPr="002E7BC2">
                            <w:rPr>
                              <w:rFonts w:ascii="Minion Pro" w:eastAsia="Times New Roman"/>
                              <w:color w:val="FFFFFF"/>
                              <w:sz w:val="24"/>
                            </w:rPr>
                            <w:t xml:space="preserve">(June 15-16, 2016   </w:t>
                          </w:r>
                          <w:smartTag w:uri="urn:schemas-microsoft-com:office:smarttags" w:element="place">
                            <w:smartTag w:uri="urn:schemas-microsoft-com:office:smarttags" w:element="City">
                              <w:r w:rsidRPr="002E7BC2">
                                <w:rPr>
                                  <w:rFonts w:ascii="Minion Pro" w:eastAsia="Times New Roman"/>
                                  <w:color w:val="FFFFFF"/>
                                  <w:sz w:val="24"/>
                                </w:rPr>
                                <w:t>Philadelphia</w:t>
                              </w:r>
                            </w:smartTag>
                            <w:r w:rsidRPr="002E7BC2">
                              <w:rPr>
                                <w:rFonts w:ascii="Minion Pro" w:eastAsia="Times New Roman"/>
                                <w:color w:val="FFFFFF"/>
                                <w:sz w:val="24"/>
                              </w:rPr>
                              <w:t xml:space="preserve">, </w:t>
                            </w:r>
                            <w:smartTag w:uri="urn:schemas-microsoft-com:office:smarttags" w:element="place">
                              <w:r w:rsidRPr="002E7BC2">
                                <w:rPr>
                                  <w:rFonts w:ascii="Minion Pro" w:eastAsia="Times New Roman"/>
                                  <w:color w:val="FFFFFF"/>
                                  <w:sz w:val="24"/>
                                </w:rPr>
                                <w:t>USA</w:t>
                              </w:r>
                            </w:smartTag>
                          </w:smartTag>
                          <w:r w:rsidRPr="002E7BC2">
                            <w:rPr>
                              <w:rFonts w:ascii="Minion Pro" w:eastAsia="Times New Roman"/>
                              <w:color w:val="FFFFFF"/>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12E23" w:rsidRPr="002E7BC2" w:rsidRDefault="00412E23">
                    <w:pPr>
                      <w:pStyle w:val="BodyText"/>
                      <w:spacing w:line="187" w:lineRule="exact"/>
                      <w:ind w:left="20" w:right="-10"/>
                      <w:rPr>
                        <w:rFonts w:ascii="Myriad Pro" w:eastAsia="Times New Roman"/>
                        <w:color w:val="FFFFFF"/>
                      </w:rPr>
                    </w:pPr>
                    <w:r w:rsidRPr="002E7BC2">
                      <w:rPr>
                        <w:rFonts w:ascii="Myriad Pro" w:eastAsia="Times New Roman"/>
                        <w:color w:val="FFFFFF"/>
                      </w:rPr>
                      <w:t>International Conference on</w:t>
                    </w:r>
                  </w:p>
                  <w:p w:rsidR="00412E23" w:rsidRPr="002E7BC2" w:rsidRDefault="00412E23">
                    <w:pPr>
                      <w:spacing w:line="614" w:lineRule="exact"/>
                      <w:ind w:left="20" w:right="-10"/>
                      <w:rPr>
                        <w:rFonts w:ascii="Minion Pro" w:eastAsia="Times New Roman"/>
                        <w:color w:val="FFFFFF"/>
                        <w:sz w:val="24"/>
                      </w:rPr>
                    </w:pPr>
                    <w:r w:rsidRPr="002E7BC2">
                      <w:rPr>
                        <w:rFonts w:ascii="Impact" w:eastAsia="Times New Roman"/>
                        <w:color w:val="FFFFFF"/>
                        <w:sz w:val="52"/>
                      </w:rPr>
                      <w:t xml:space="preserve">Fibromyalgia and Chronic Pain </w:t>
                    </w:r>
                    <w:r w:rsidRPr="002E7BC2">
                      <w:rPr>
                        <w:rFonts w:ascii="Minion Pro" w:eastAsia="Times New Roman"/>
                        <w:color w:val="FFFFFF"/>
                        <w:sz w:val="24"/>
                      </w:rPr>
                      <w:t xml:space="preserve">(June 15-16, 2016   </w:t>
                    </w:r>
                    <w:smartTag w:uri="urn:schemas-microsoft-com:office:smarttags" w:element="place">
                      <w:smartTag w:uri="urn:schemas-microsoft-com:office:smarttags" w:element="City">
                        <w:r w:rsidRPr="002E7BC2">
                          <w:rPr>
                            <w:rFonts w:ascii="Minion Pro" w:eastAsia="Times New Roman"/>
                            <w:color w:val="FFFFFF"/>
                            <w:sz w:val="24"/>
                          </w:rPr>
                          <w:t>Philadelphia</w:t>
                        </w:r>
                      </w:smartTag>
                      <w:r w:rsidRPr="002E7BC2">
                        <w:rPr>
                          <w:rFonts w:ascii="Minion Pro" w:eastAsia="Times New Roman"/>
                          <w:color w:val="FFFFFF"/>
                          <w:sz w:val="24"/>
                        </w:rPr>
                        <w:t xml:space="preserve">, </w:t>
                      </w:r>
                      <w:smartTag w:uri="urn:schemas-microsoft-com:office:smarttags" w:element="place">
                        <w:r w:rsidRPr="002E7BC2">
                          <w:rPr>
                            <w:rFonts w:ascii="Minion Pro" w:eastAsia="Times New Roman"/>
                            <w:color w:val="FFFFFF"/>
                            <w:sz w:val="24"/>
                          </w:rPr>
                          <w:t>USA</w:t>
                        </w:r>
                      </w:smartTag>
                    </w:smartTag>
                    <w:r w:rsidRPr="002E7BC2">
                      <w:rPr>
                        <w:rFonts w:ascii="Minion Pro" w:eastAsia="Times New Roman"/>
                        <w:color w:val="FFFFFF"/>
                        <w:sz w:val="24"/>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E4B41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2A6A6C3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2D2F5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B0C217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468116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9F2A9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AC29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A63E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E6E826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40E0F30"/>
    <w:lvl w:ilvl="0">
      <w:start w:val="1"/>
      <w:numFmt w:val="bullet"/>
      <w:lvlText w:val=""/>
      <w:lvlJc w:val="left"/>
      <w:pPr>
        <w:tabs>
          <w:tab w:val="num" w:pos="360"/>
        </w:tabs>
        <w:ind w:left="360" w:hanging="360"/>
      </w:pPr>
      <w:rPr>
        <w:rFonts w:ascii="Symbol" w:hAnsi="Symbol" w:hint="default"/>
      </w:rPr>
    </w:lvl>
  </w:abstractNum>
  <w:abstractNum w:abstractNumId="1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1">
    <w:nsid w:val="4CC3106D"/>
    <w:multiLevelType w:val="hybridMultilevel"/>
    <w:tmpl w:val="D388AD94"/>
    <w:lvl w:ilvl="0" w:tplc="A93A9508">
      <w:start w:val="1"/>
      <w:numFmt w:val="bullet"/>
      <w:lvlText w:val=""/>
      <w:lvlJc w:val="left"/>
      <w:pPr>
        <w:tabs>
          <w:tab w:val="num" w:pos="720"/>
        </w:tabs>
        <w:ind w:left="720" w:hanging="360"/>
      </w:pPr>
      <w:rPr>
        <w:rFonts w:ascii="Wingdings" w:hAnsi="Wingdings" w:hint="default"/>
      </w:rPr>
    </w:lvl>
    <w:lvl w:ilvl="1" w:tplc="ED406C72" w:tentative="1">
      <w:start w:val="1"/>
      <w:numFmt w:val="bullet"/>
      <w:lvlText w:val=""/>
      <w:lvlJc w:val="left"/>
      <w:pPr>
        <w:tabs>
          <w:tab w:val="num" w:pos="1440"/>
        </w:tabs>
        <w:ind w:left="1440" w:hanging="360"/>
      </w:pPr>
      <w:rPr>
        <w:rFonts w:ascii="Wingdings" w:hAnsi="Wingdings" w:hint="default"/>
      </w:rPr>
    </w:lvl>
    <w:lvl w:ilvl="2" w:tplc="CCC63D0E" w:tentative="1">
      <w:start w:val="1"/>
      <w:numFmt w:val="bullet"/>
      <w:lvlText w:val=""/>
      <w:lvlJc w:val="left"/>
      <w:pPr>
        <w:tabs>
          <w:tab w:val="num" w:pos="2160"/>
        </w:tabs>
        <w:ind w:left="2160" w:hanging="360"/>
      </w:pPr>
      <w:rPr>
        <w:rFonts w:ascii="Wingdings" w:hAnsi="Wingdings" w:hint="default"/>
      </w:rPr>
    </w:lvl>
    <w:lvl w:ilvl="3" w:tplc="9E48B504" w:tentative="1">
      <w:start w:val="1"/>
      <w:numFmt w:val="bullet"/>
      <w:lvlText w:val=""/>
      <w:lvlJc w:val="left"/>
      <w:pPr>
        <w:tabs>
          <w:tab w:val="num" w:pos="2880"/>
        </w:tabs>
        <w:ind w:left="2880" w:hanging="360"/>
      </w:pPr>
      <w:rPr>
        <w:rFonts w:ascii="Wingdings" w:hAnsi="Wingdings" w:hint="default"/>
      </w:rPr>
    </w:lvl>
    <w:lvl w:ilvl="4" w:tplc="D4AC4936" w:tentative="1">
      <w:start w:val="1"/>
      <w:numFmt w:val="bullet"/>
      <w:lvlText w:val=""/>
      <w:lvlJc w:val="left"/>
      <w:pPr>
        <w:tabs>
          <w:tab w:val="num" w:pos="3600"/>
        </w:tabs>
        <w:ind w:left="3600" w:hanging="360"/>
      </w:pPr>
      <w:rPr>
        <w:rFonts w:ascii="Wingdings" w:hAnsi="Wingdings" w:hint="default"/>
      </w:rPr>
    </w:lvl>
    <w:lvl w:ilvl="5" w:tplc="0E3ED3B6" w:tentative="1">
      <w:start w:val="1"/>
      <w:numFmt w:val="bullet"/>
      <w:lvlText w:val=""/>
      <w:lvlJc w:val="left"/>
      <w:pPr>
        <w:tabs>
          <w:tab w:val="num" w:pos="4320"/>
        </w:tabs>
        <w:ind w:left="4320" w:hanging="360"/>
      </w:pPr>
      <w:rPr>
        <w:rFonts w:ascii="Wingdings" w:hAnsi="Wingdings" w:hint="default"/>
      </w:rPr>
    </w:lvl>
    <w:lvl w:ilvl="6" w:tplc="8D1CDE84" w:tentative="1">
      <w:start w:val="1"/>
      <w:numFmt w:val="bullet"/>
      <w:lvlText w:val=""/>
      <w:lvlJc w:val="left"/>
      <w:pPr>
        <w:tabs>
          <w:tab w:val="num" w:pos="5040"/>
        </w:tabs>
        <w:ind w:left="5040" w:hanging="360"/>
      </w:pPr>
      <w:rPr>
        <w:rFonts w:ascii="Wingdings" w:hAnsi="Wingdings" w:hint="default"/>
      </w:rPr>
    </w:lvl>
    <w:lvl w:ilvl="7" w:tplc="0B3653A0" w:tentative="1">
      <w:start w:val="1"/>
      <w:numFmt w:val="bullet"/>
      <w:lvlText w:val=""/>
      <w:lvlJc w:val="left"/>
      <w:pPr>
        <w:tabs>
          <w:tab w:val="num" w:pos="5760"/>
        </w:tabs>
        <w:ind w:left="5760" w:hanging="360"/>
      </w:pPr>
      <w:rPr>
        <w:rFonts w:ascii="Wingdings" w:hAnsi="Wingdings" w:hint="default"/>
      </w:rPr>
    </w:lvl>
    <w:lvl w:ilvl="8" w:tplc="771CD282" w:tentative="1">
      <w:start w:val="1"/>
      <w:numFmt w:val="bullet"/>
      <w:lvlText w:val=""/>
      <w:lvlJc w:val="left"/>
      <w:pPr>
        <w:tabs>
          <w:tab w:val="num" w:pos="6480"/>
        </w:tabs>
        <w:ind w:left="6480" w:hanging="360"/>
      </w:pPr>
      <w:rPr>
        <w:rFonts w:ascii="Wingdings" w:hAnsi="Wingdings" w:hint="default"/>
      </w:rPr>
    </w:lvl>
  </w:abstractNum>
  <w:abstractNum w:abstractNumId="1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0"/>
  </w:num>
  <w:num w:numId="2">
    <w:abstractNumId w:val="12"/>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4D7E"/>
    <w:rsid w:val="001D6489"/>
    <w:rsid w:val="0022597E"/>
    <w:rsid w:val="0027074B"/>
    <w:rsid w:val="00292ED9"/>
    <w:rsid w:val="002A69A0"/>
    <w:rsid w:val="002C01F0"/>
    <w:rsid w:val="002D0ECA"/>
    <w:rsid w:val="002E7BC2"/>
    <w:rsid w:val="003D46A6"/>
    <w:rsid w:val="003D65BC"/>
    <w:rsid w:val="00404E5B"/>
    <w:rsid w:val="00412E23"/>
    <w:rsid w:val="00414F7B"/>
    <w:rsid w:val="004355DC"/>
    <w:rsid w:val="004749B4"/>
    <w:rsid w:val="00494130"/>
    <w:rsid w:val="004B1CFB"/>
    <w:rsid w:val="004D0F9D"/>
    <w:rsid w:val="004F3523"/>
    <w:rsid w:val="00540D2E"/>
    <w:rsid w:val="005757A4"/>
    <w:rsid w:val="005973B9"/>
    <w:rsid w:val="005B197C"/>
    <w:rsid w:val="005B1BA6"/>
    <w:rsid w:val="005B3A56"/>
    <w:rsid w:val="006060CE"/>
    <w:rsid w:val="00616076"/>
    <w:rsid w:val="0063497F"/>
    <w:rsid w:val="00741D4B"/>
    <w:rsid w:val="00834BE5"/>
    <w:rsid w:val="00873DF0"/>
    <w:rsid w:val="008756E6"/>
    <w:rsid w:val="008C08EE"/>
    <w:rsid w:val="008C50B2"/>
    <w:rsid w:val="009B2D44"/>
    <w:rsid w:val="00A07E82"/>
    <w:rsid w:val="00A16671"/>
    <w:rsid w:val="00A43895"/>
    <w:rsid w:val="00A8114F"/>
    <w:rsid w:val="00A8360A"/>
    <w:rsid w:val="00A9710C"/>
    <w:rsid w:val="00AE3E37"/>
    <w:rsid w:val="00B21A57"/>
    <w:rsid w:val="00B7493C"/>
    <w:rsid w:val="00BA090A"/>
    <w:rsid w:val="00C33602"/>
    <w:rsid w:val="00C4799F"/>
    <w:rsid w:val="00CC059B"/>
    <w:rsid w:val="00CD6F55"/>
    <w:rsid w:val="00D30B56"/>
    <w:rsid w:val="00D50244"/>
    <w:rsid w:val="00DA2D61"/>
    <w:rsid w:val="00DE3104"/>
    <w:rsid w:val="00E263DC"/>
    <w:rsid w:val="00F51717"/>
    <w:rsid w:val="00F72EEA"/>
    <w:rsid w:val="00F84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114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A8114F"/>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A8114F"/>
    <w:rPr>
      <w:rFonts w:ascii="Cambria" w:hAnsi="Cambria" w:cs="Times New Roman"/>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styleId="HTMLPreformatted">
    <w:name w:val="HTML Preformatted"/>
    <w:basedOn w:val="Normal"/>
    <w:link w:val="HTMLPreformattedChar"/>
    <w:uiPriority w:val="99"/>
    <w:rsid w:val="00F517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114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A8114F"/>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A8114F"/>
    <w:rPr>
      <w:rFonts w:ascii="Cambria" w:hAnsi="Cambria" w:cs="Times New Roman"/>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styleId="HTMLPreformatted">
    <w:name w:val="HTML Preformatted"/>
    <w:basedOn w:val="Normal"/>
    <w:link w:val="HTMLPreformattedChar"/>
    <w:uiPriority w:val="99"/>
    <w:rsid w:val="00F517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970619">
      <w:marLeft w:val="0"/>
      <w:marRight w:val="0"/>
      <w:marTop w:val="0"/>
      <w:marBottom w:val="0"/>
      <w:divBdr>
        <w:top w:val="none" w:sz="0" w:space="0" w:color="auto"/>
        <w:left w:val="none" w:sz="0" w:space="0" w:color="auto"/>
        <w:bottom w:val="none" w:sz="0" w:space="0" w:color="auto"/>
        <w:right w:val="none" w:sz="0" w:space="0" w:color="auto"/>
      </w:divBdr>
    </w:div>
    <w:div w:id="377970620">
      <w:marLeft w:val="0"/>
      <w:marRight w:val="0"/>
      <w:marTop w:val="0"/>
      <w:marBottom w:val="0"/>
      <w:divBdr>
        <w:top w:val="none" w:sz="0" w:space="0" w:color="auto"/>
        <w:left w:val="none" w:sz="0" w:space="0" w:color="auto"/>
        <w:bottom w:val="none" w:sz="0" w:space="0" w:color="auto"/>
        <w:right w:val="none" w:sz="0" w:space="0" w:color="auto"/>
      </w:divBdr>
    </w:div>
    <w:div w:id="377970622">
      <w:marLeft w:val="0"/>
      <w:marRight w:val="0"/>
      <w:marTop w:val="0"/>
      <w:marBottom w:val="0"/>
      <w:divBdr>
        <w:top w:val="none" w:sz="0" w:space="0" w:color="auto"/>
        <w:left w:val="none" w:sz="0" w:space="0" w:color="auto"/>
        <w:bottom w:val="none" w:sz="0" w:space="0" w:color="auto"/>
        <w:right w:val="none" w:sz="0" w:space="0" w:color="auto"/>
      </w:divBdr>
      <w:divsChild>
        <w:div w:id="377970621">
          <w:marLeft w:val="0"/>
          <w:marRight w:val="0"/>
          <w:marTop w:val="0"/>
          <w:marBottom w:val="0"/>
          <w:divBdr>
            <w:top w:val="none" w:sz="0" w:space="0" w:color="auto"/>
            <w:left w:val="none" w:sz="0" w:space="0" w:color="auto"/>
            <w:bottom w:val="none" w:sz="0" w:space="0" w:color="auto"/>
            <w:right w:val="none" w:sz="0" w:space="0" w:color="auto"/>
          </w:divBdr>
        </w:div>
      </w:divsChild>
    </w:div>
    <w:div w:id="377970623">
      <w:marLeft w:val="0"/>
      <w:marRight w:val="0"/>
      <w:marTop w:val="0"/>
      <w:marBottom w:val="0"/>
      <w:divBdr>
        <w:top w:val="none" w:sz="0" w:space="0" w:color="auto"/>
        <w:left w:val="none" w:sz="0" w:space="0" w:color="auto"/>
        <w:bottom w:val="none" w:sz="0" w:space="0" w:color="auto"/>
        <w:right w:val="none" w:sz="0" w:space="0" w:color="auto"/>
      </w:divBdr>
    </w:div>
    <w:div w:id="377970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vepesic@"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Women, trauma and alcohol dependency: Connections and disconnections in alcohol treatment for women</vt:lpstr>
    </vt:vector>
  </TitlesOfParts>
  <Company>Microsoft</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creator>mehaboobi shaik</dc:creator>
  <cp:lastModifiedBy>Vesna Pešić</cp:lastModifiedBy>
  <cp:revision>2</cp:revision>
  <cp:lastPrinted>2017-03-09T09:04:00Z</cp:lastPrinted>
  <dcterms:created xsi:type="dcterms:W3CDTF">2017-03-10T06:46:00Z</dcterms:created>
  <dcterms:modified xsi:type="dcterms:W3CDTF">2017-03-10T06:46:00Z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