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8F8A3" w14:textId="74321683" w:rsidR="00270C74" w:rsidRDefault="00270C74" w:rsidP="00270C74">
      <w:pPr>
        <w:pStyle w:val="NormalWeb"/>
        <w:spacing w:before="0" w:beforeAutospacing="0" w:after="0" w:afterAutospacing="0"/>
        <w:jc w:val="both"/>
        <w:rPr>
          <w:rFonts w:ascii="Calibri" w:hAnsi="Calibri"/>
          <w:b/>
          <w:bCs/>
          <w:u w:val="single"/>
        </w:rPr>
      </w:pPr>
      <w:r>
        <w:rPr>
          <w:rFonts w:ascii="Calibri" w:hAnsi="Calibri"/>
          <w:b/>
          <w:bCs/>
          <w:u w:val="single"/>
        </w:rPr>
        <w:t>Abstract</w:t>
      </w:r>
    </w:p>
    <w:p w14:paraId="3504AAEF" w14:textId="4D3DF448" w:rsidR="00270C74" w:rsidRPr="00270C74" w:rsidRDefault="00270C74" w:rsidP="00270C74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</w:p>
    <w:p w14:paraId="34BAA2AE" w14:textId="5CD13CD4" w:rsidR="00E07248" w:rsidRDefault="00E07248" w:rsidP="00270C74">
      <w:pPr>
        <w:pStyle w:val="NormalWeb"/>
        <w:spacing w:before="0" w:beforeAutospacing="0" w:after="0" w:afterAutospacing="0"/>
        <w:jc w:val="both"/>
        <w:rPr>
          <w:rFonts w:ascii="Calibri" w:hAnsi="Calibri"/>
          <w:b/>
          <w:bCs/>
          <w:u w:val="single"/>
        </w:rPr>
      </w:pPr>
      <w:r w:rsidRPr="00E07248">
        <w:rPr>
          <w:rFonts w:ascii="Calibri" w:hAnsi="Calibri"/>
          <w:b/>
          <w:bCs/>
          <w:u w:val="single"/>
        </w:rPr>
        <w:t>Post-operative care following appendicectomy – Are we getting it right first time?</w:t>
      </w:r>
    </w:p>
    <w:p w14:paraId="62178694" w14:textId="3B92B561" w:rsidR="00270C74" w:rsidRDefault="00270C74" w:rsidP="00270C74">
      <w:pPr>
        <w:pStyle w:val="NormalWeb"/>
        <w:spacing w:before="0" w:beforeAutospacing="0" w:after="0" w:afterAutospacing="0"/>
        <w:jc w:val="both"/>
        <w:rPr>
          <w:rFonts w:ascii="Calibri" w:hAnsi="Calibri"/>
          <w:b/>
          <w:bCs/>
          <w:u w:val="single"/>
        </w:rPr>
      </w:pPr>
    </w:p>
    <w:p w14:paraId="06452D5F" w14:textId="06C7EF06" w:rsidR="00270C74" w:rsidRPr="00270C74" w:rsidRDefault="00270C74" w:rsidP="00270C74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Authors: </w:t>
      </w:r>
      <w:r>
        <w:rPr>
          <w:rFonts w:ascii="Calibri" w:hAnsi="Calibri"/>
        </w:rPr>
        <w:t>Lloyd. A, Rudman, H. Hall, C</w:t>
      </w:r>
    </w:p>
    <w:p w14:paraId="49879D4E" w14:textId="77777777" w:rsidR="00E07248" w:rsidRDefault="00E07248" w:rsidP="00270C74">
      <w:pPr>
        <w:pStyle w:val="NormalWeb"/>
        <w:spacing w:before="0" w:beforeAutospacing="0" w:after="0" w:afterAutospacing="0"/>
        <w:jc w:val="both"/>
        <w:rPr>
          <w:rFonts w:ascii="Calibri" w:hAnsi="Calibri"/>
          <w:u w:val="single"/>
        </w:rPr>
      </w:pPr>
    </w:p>
    <w:p w14:paraId="10FE81FA" w14:textId="76FFAC73" w:rsidR="003744AF" w:rsidRPr="00574347" w:rsidRDefault="003744AF" w:rsidP="00270C74">
      <w:pPr>
        <w:pStyle w:val="NormalWeb"/>
        <w:spacing w:before="0" w:beforeAutospacing="0" w:after="0" w:afterAutospacing="0"/>
        <w:jc w:val="both"/>
        <w:rPr>
          <w:rFonts w:ascii="Calibri" w:hAnsi="Calibri"/>
          <w:u w:val="single"/>
        </w:rPr>
      </w:pPr>
      <w:r w:rsidRPr="00574347">
        <w:rPr>
          <w:rFonts w:ascii="Calibri" w:hAnsi="Calibri"/>
          <w:u w:val="single"/>
        </w:rPr>
        <w:t>Background</w:t>
      </w:r>
    </w:p>
    <w:p w14:paraId="0ECD0234" w14:textId="77777777" w:rsidR="003744AF" w:rsidRDefault="003744AF" w:rsidP="00270C74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</w:p>
    <w:p w14:paraId="4C665676" w14:textId="1628088D" w:rsidR="003744AF" w:rsidRDefault="003744AF" w:rsidP="00270C74">
      <w:pPr>
        <w:jc w:val="both"/>
        <w:rPr>
          <w:rFonts w:ascii="Calibri" w:hAnsi="Calibri"/>
        </w:rPr>
      </w:pPr>
      <w:r>
        <w:rPr>
          <w:rFonts w:ascii="Calibri" w:hAnsi="Calibri"/>
        </w:rPr>
        <w:t>‘Getting It Right First Time’ (GIRFT) identified significant variation in length of stay following appendicectomy</w:t>
      </w:r>
      <w:r w:rsidR="0047385B">
        <w:rPr>
          <w:rFonts w:ascii="Calibri" w:hAnsi="Calibri"/>
        </w:rPr>
        <w:t xml:space="preserve">, </w:t>
      </w:r>
      <w:r w:rsidR="00613240">
        <w:rPr>
          <w:rFonts w:ascii="Calibri" w:hAnsi="Calibri"/>
        </w:rPr>
        <w:t>with</w:t>
      </w:r>
      <w:r>
        <w:rPr>
          <w:rFonts w:ascii="Calibri" w:hAnsi="Calibri"/>
        </w:rPr>
        <w:t xml:space="preserve"> leading trusts </w:t>
      </w:r>
      <w:r w:rsidR="0047385B">
        <w:rPr>
          <w:rFonts w:ascii="Calibri" w:hAnsi="Calibri"/>
        </w:rPr>
        <w:t>‘</w:t>
      </w:r>
      <w:r>
        <w:rPr>
          <w:rFonts w:ascii="Calibri" w:hAnsi="Calibri"/>
        </w:rPr>
        <w:t>able to discharge over half of patients within two days of admission</w:t>
      </w:r>
      <w:r w:rsidR="0047385B">
        <w:rPr>
          <w:rFonts w:ascii="Calibri" w:hAnsi="Calibri"/>
        </w:rPr>
        <w:t>’</w:t>
      </w:r>
      <w:r>
        <w:rPr>
          <w:rFonts w:ascii="Calibri" w:hAnsi="Calibri"/>
        </w:rPr>
        <w:t xml:space="preserve"> (1). Our aim was to analyse length of stay following appendicectomy at Stockport NHSFT</w:t>
      </w:r>
      <w:r w:rsidR="009E13E1">
        <w:rPr>
          <w:rFonts w:ascii="Calibri" w:hAnsi="Calibri"/>
        </w:rPr>
        <w:t>.</w:t>
      </w:r>
    </w:p>
    <w:p w14:paraId="763242FA" w14:textId="77777777" w:rsidR="003744AF" w:rsidRDefault="003744AF" w:rsidP="00270C74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</w:p>
    <w:p w14:paraId="0140724D" w14:textId="77777777" w:rsidR="003744AF" w:rsidRDefault="003744AF" w:rsidP="00270C74">
      <w:pPr>
        <w:pStyle w:val="NormalWeb"/>
        <w:spacing w:before="0" w:beforeAutospacing="0" w:after="0" w:afterAutospacing="0"/>
        <w:jc w:val="both"/>
        <w:rPr>
          <w:rFonts w:ascii="Calibri" w:hAnsi="Calibri"/>
          <w:u w:val="single"/>
        </w:rPr>
      </w:pPr>
      <w:r w:rsidRPr="00574347">
        <w:rPr>
          <w:rFonts w:ascii="Calibri" w:hAnsi="Calibri"/>
          <w:u w:val="single"/>
        </w:rPr>
        <w:t>Methods</w:t>
      </w:r>
    </w:p>
    <w:p w14:paraId="206DA2A8" w14:textId="77777777" w:rsidR="003744AF" w:rsidRPr="00574347" w:rsidRDefault="003744AF" w:rsidP="00270C74">
      <w:pPr>
        <w:pStyle w:val="NormalWeb"/>
        <w:spacing w:before="0" w:beforeAutospacing="0" w:after="0" w:afterAutospacing="0"/>
        <w:jc w:val="both"/>
        <w:rPr>
          <w:rFonts w:ascii="Calibri" w:hAnsi="Calibri"/>
          <w:u w:val="single"/>
        </w:rPr>
      </w:pPr>
    </w:p>
    <w:p w14:paraId="5CBF7FAA" w14:textId="76697D80" w:rsidR="003744AF" w:rsidRDefault="00613240" w:rsidP="00270C74">
      <w:pPr>
        <w:jc w:val="both"/>
        <w:rPr>
          <w:rFonts w:ascii="Calibri" w:hAnsi="Calibri"/>
        </w:rPr>
      </w:pPr>
      <w:r>
        <w:rPr>
          <w:rFonts w:ascii="Calibri" w:hAnsi="Calibri"/>
        </w:rPr>
        <w:t>W</w:t>
      </w:r>
      <w:r w:rsidR="0047385B">
        <w:rPr>
          <w:rFonts w:ascii="Calibri" w:hAnsi="Calibri"/>
        </w:rPr>
        <w:t xml:space="preserve">e audited </w:t>
      </w:r>
      <w:r w:rsidR="003744AF">
        <w:rPr>
          <w:rFonts w:ascii="Calibri" w:hAnsi="Calibri"/>
        </w:rPr>
        <w:t xml:space="preserve">98 patients </w:t>
      </w:r>
      <w:r w:rsidR="0047385B">
        <w:rPr>
          <w:rFonts w:ascii="Calibri" w:hAnsi="Calibri"/>
        </w:rPr>
        <w:t>u</w:t>
      </w:r>
      <w:r w:rsidR="003744AF">
        <w:rPr>
          <w:rFonts w:ascii="Calibri" w:hAnsi="Calibri"/>
        </w:rPr>
        <w:t>ndergo</w:t>
      </w:r>
      <w:r w:rsidR="0047385B">
        <w:rPr>
          <w:rFonts w:ascii="Calibri" w:hAnsi="Calibri"/>
        </w:rPr>
        <w:t>ing</w:t>
      </w:r>
      <w:r w:rsidR="003744AF">
        <w:rPr>
          <w:rFonts w:ascii="Calibri" w:hAnsi="Calibri"/>
        </w:rPr>
        <w:t xml:space="preserve"> appendicectomy</w:t>
      </w:r>
      <w:r w:rsidR="00541D85">
        <w:rPr>
          <w:rFonts w:ascii="Calibri" w:hAnsi="Calibri"/>
        </w:rPr>
        <w:t xml:space="preserve"> between</w:t>
      </w:r>
      <w:r w:rsidR="003744AF">
        <w:rPr>
          <w:rFonts w:ascii="Calibri" w:hAnsi="Calibri"/>
        </w:rPr>
        <w:t xml:space="preserve"> June and December 2017</w:t>
      </w:r>
      <w:r w:rsidR="0047385B">
        <w:rPr>
          <w:rFonts w:ascii="Calibri" w:hAnsi="Calibri"/>
        </w:rPr>
        <w:t xml:space="preserve">, using </w:t>
      </w:r>
      <w:r>
        <w:rPr>
          <w:rFonts w:ascii="Calibri" w:hAnsi="Calibri"/>
        </w:rPr>
        <w:t>the GIRFT</w:t>
      </w:r>
      <w:r w:rsidR="00541D85">
        <w:rPr>
          <w:rFonts w:ascii="Calibri" w:hAnsi="Calibri"/>
        </w:rPr>
        <w:t xml:space="preserve"> 48-hour target as our </w:t>
      </w:r>
      <w:r w:rsidR="00E07248">
        <w:rPr>
          <w:rFonts w:ascii="Calibri" w:hAnsi="Calibri"/>
        </w:rPr>
        <w:t xml:space="preserve">audit </w:t>
      </w:r>
      <w:r w:rsidR="00541D85">
        <w:rPr>
          <w:rFonts w:ascii="Calibri" w:hAnsi="Calibri"/>
        </w:rPr>
        <w:t xml:space="preserve">standard for length of stay in </w:t>
      </w:r>
      <w:r w:rsidR="0047385B">
        <w:rPr>
          <w:rFonts w:ascii="Calibri" w:hAnsi="Calibri"/>
        </w:rPr>
        <w:t>u</w:t>
      </w:r>
      <w:r w:rsidR="00541D85">
        <w:rPr>
          <w:rFonts w:ascii="Calibri" w:hAnsi="Calibri"/>
        </w:rPr>
        <w:t>ncomplicated appendicitis</w:t>
      </w:r>
      <w:r w:rsidR="00541D85" w:rsidRPr="00541D85">
        <w:rPr>
          <w:rFonts w:ascii="Calibri" w:hAnsi="Calibri"/>
        </w:rPr>
        <w:t xml:space="preserve"> </w:t>
      </w:r>
      <w:r>
        <w:rPr>
          <w:rFonts w:ascii="Calibri" w:hAnsi="Calibri"/>
        </w:rPr>
        <w:t>(</w:t>
      </w:r>
      <w:r w:rsidR="00541D85">
        <w:rPr>
          <w:rFonts w:ascii="Calibri" w:hAnsi="Calibri"/>
        </w:rPr>
        <w:t>i.e. no perforation, empyema or abscess formation</w:t>
      </w:r>
      <w:r>
        <w:rPr>
          <w:rFonts w:ascii="Calibri" w:hAnsi="Calibri"/>
        </w:rPr>
        <w:t>)</w:t>
      </w:r>
      <w:r w:rsidR="00541D85">
        <w:rPr>
          <w:rFonts w:ascii="Calibri" w:hAnsi="Calibri"/>
        </w:rPr>
        <w:t xml:space="preserve">. </w:t>
      </w:r>
      <w:r>
        <w:rPr>
          <w:rFonts w:ascii="Calibri" w:hAnsi="Calibri"/>
        </w:rPr>
        <w:t>Online c</w:t>
      </w:r>
      <w:r w:rsidR="003744AF">
        <w:rPr>
          <w:rFonts w:ascii="Calibri" w:hAnsi="Calibri"/>
        </w:rPr>
        <w:t>ase notes were used to identify length of stay</w:t>
      </w:r>
      <w:r w:rsidR="00AD17B0">
        <w:rPr>
          <w:rFonts w:ascii="Calibri" w:hAnsi="Calibri"/>
        </w:rPr>
        <w:t>, diagnosis</w:t>
      </w:r>
      <w:r w:rsidR="00541D85">
        <w:rPr>
          <w:rFonts w:ascii="Calibri" w:hAnsi="Calibri"/>
        </w:rPr>
        <w:t xml:space="preserve"> and barriers to discharge. </w:t>
      </w:r>
      <w:r w:rsidR="0047385B">
        <w:rPr>
          <w:rFonts w:ascii="Calibri" w:hAnsi="Calibri"/>
        </w:rPr>
        <w:t>We conducted a re-audit of 144 patients undergoing appendicectomy between October 2018 and April 2019.</w:t>
      </w:r>
    </w:p>
    <w:p w14:paraId="012F9E48" w14:textId="77777777" w:rsidR="0047385B" w:rsidRDefault="0047385B" w:rsidP="00270C74">
      <w:pPr>
        <w:jc w:val="both"/>
        <w:rPr>
          <w:rFonts w:ascii="Calibri" w:hAnsi="Calibri"/>
        </w:rPr>
      </w:pPr>
    </w:p>
    <w:p w14:paraId="39918805" w14:textId="77777777" w:rsidR="003744AF" w:rsidRDefault="003744AF" w:rsidP="00270C74">
      <w:pPr>
        <w:pStyle w:val="NormalWeb"/>
        <w:tabs>
          <w:tab w:val="left" w:pos="1180"/>
        </w:tabs>
        <w:spacing w:before="0" w:beforeAutospacing="0" w:after="0" w:afterAutospacing="0"/>
        <w:jc w:val="both"/>
        <w:rPr>
          <w:rFonts w:ascii="Calibri" w:hAnsi="Calibri"/>
          <w:u w:val="single"/>
        </w:rPr>
      </w:pPr>
      <w:r w:rsidRPr="00574347">
        <w:rPr>
          <w:rFonts w:ascii="Calibri" w:hAnsi="Calibri"/>
          <w:u w:val="single"/>
        </w:rPr>
        <w:t>Results</w:t>
      </w:r>
    </w:p>
    <w:p w14:paraId="1F1BEF27" w14:textId="77777777" w:rsidR="003744AF" w:rsidRDefault="003744AF" w:rsidP="00270C74">
      <w:pPr>
        <w:pStyle w:val="NormalWeb"/>
        <w:tabs>
          <w:tab w:val="left" w:pos="1180"/>
        </w:tabs>
        <w:spacing w:before="0" w:beforeAutospacing="0" w:after="0" w:afterAutospacing="0"/>
        <w:jc w:val="both"/>
        <w:rPr>
          <w:rFonts w:ascii="Calibri" w:hAnsi="Calibri"/>
          <w:u w:val="single"/>
        </w:rPr>
      </w:pPr>
    </w:p>
    <w:p w14:paraId="0DB25BA6" w14:textId="32955C24" w:rsidR="003744AF" w:rsidRPr="00B3163A" w:rsidRDefault="0047385B" w:rsidP="00270C74">
      <w:pPr>
        <w:pStyle w:val="NormalWeb"/>
        <w:tabs>
          <w:tab w:val="left" w:pos="1180"/>
        </w:tabs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</w:rPr>
        <w:t xml:space="preserve">Our initial audit identified </w:t>
      </w:r>
      <w:r w:rsidR="003744AF">
        <w:rPr>
          <w:rFonts w:ascii="Calibri" w:hAnsi="Calibri"/>
        </w:rPr>
        <w:t xml:space="preserve">61 cases of uncomplicated appendicitis </w:t>
      </w:r>
      <w:r>
        <w:rPr>
          <w:rFonts w:ascii="Calibri" w:hAnsi="Calibri"/>
        </w:rPr>
        <w:t>with an average stay</w:t>
      </w:r>
      <w:r w:rsidR="003744AF">
        <w:rPr>
          <w:rFonts w:ascii="Calibri" w:hAnsi="Calibri"/>
        </w:rPr>
        <w:t xml:space="preserve"> </w:t>
      </w:r>
      <w:r>
        <w:rPr>
          <w:rFonts w:ascii="Calibri" w:hAnsi="Calibri"/>
        </w:rPr>
        <w:t>of</w:t>
      </w:r>
      <w:r w:rsidR="003744AF">
        <w:rPr>
          <w:rFonts w:ascii="Calibri" w:hAnsi="Calibri"/>
        </w:rPr>
        <w:t xml:space="preserve"> 2.52 days. </w:t>
      </w:r>
      <w:r>
        <w:rPr>
          <w:rFonts w:ascii="Calibri" w:hAnsi="Calibri"/>
        </w:rPr>
        <w:t>We identified unnecessary post-operative IV antibiotic prescriptions</w:t>
      </w:r>
      <w:r w:rsidR="00613240">
        <w:rPr>
          <w:rFonts w:ascii="Calibri" w:hAnsi="Calibri"/>
        </w:rPr>
        <w:t xml:space="preserve"> (2) and </w:t>
      </w:r>
      <w:r>
        <w:rPr>
          <w:rFonts w:ascii="Calibri" w:hAnsi="Calibri"/>
        </w:rPr>
        <w:t>inadequate analgesia a</w:t>
      </w:r>
      <w:r w:rsidR="00613240">
        <w:rPr>
          <w:rFonts w:ascii="Calibri" w:hAnsi="Calibri"/>
        </w:rPr>
        <w:t xml:space="preserve">s </w:t>
      </w:r>
      <w:r>
        <w:rPr>
          <w:rFonts w:ascii="Calibri" w:hAnsi="Calibri"/>
        </w:rPr>
        <w:t xml:space="preserve">leading causes of delayed discharge. Our re-audit identified </w:t>
      </w:r>
      <w:r w:rsidR="009E13E1">
        <w:rPr>
          <w:rFonts w:ascii="Calibri" w:hAnsi="Calibri"/>
        </w:rPr>
        <w:t xml:space="preserve">102 cases </w:t>
      </w:r>
      <w:r w:rsidR="00E07248">
        <w:rPr>
          <w:rFonts w:ascii="Calibri" w:hAnsi="Calibri"/>
        </w:rPr>
        <w:t xml:space="preserve">of uncomplicated appendicitis </w:t>
      </w:r>
      <w:r w:rsidR="009E13E1">
        <w:rPr>
          <w:rFonts w:ascii="Calibri" w:hAnsi="Calibri"/>
        </w:rPr>
        <w:t xml:space="preserve">with </w:t>
      </w:r>
      <w:r>
        <w:rPr>
          <w:rFonts w:ascii="Calibri" w:hAnsi="Calibri"/>
        </w:rPr>
        <w:t>an average stay of 2.30 days.</w:t>
      </w:r>
    </w:p>
    <w:p w14:paraId="0E72B6CA" w14:textId="77777777" w:rsidR="003744AF" w:rsidRPr="00B3163A" w:rsidRDefault="003744AF" w:rsidP="00270C74">
      <w:pPr>
        <w:pStyle w:val="NormalWeb"/>
        <w:tabs>
          <w:tab w:val="left" w:pos="1180"/>
        </w:tabs>
        <w:spacing w:before="0" w:beforeAutospacing="0" w:after="0" w:afterAutospacing="0"/>
        <w:jc w:val="both"/>
        <w:rPr>
          <w:rFonts w:ascii="Calibri" w:hAnsi="Calibri"/>
          <w:u w:val="single"/>
        </w:rPr>
      </w:pPr>
    </w:p>
    <w:p w14:paraId="61DB21CC" w14:textId="35A4BDB2" w:rsidR="003744AF" w:rsidRDefault="003744AF" w:rsidP="00270C74">
      <w:pPr>
        <w:pStyle w:val="NormalWeb"/>
        <w:spacing w:before="0" w:beforeAutospacing="0" w:after="0" w:afterAutospacing="0"/>
        <w:jc w:val="both"/>
        <w:rPr>
          <w:rFonts w:ascii="Calibri" w:hAnsi="Calibri"/>
          <w:u w:val="single"/>
        </w:rPr>
      </w:pPr>
      <w:r w:rsidRPr="00C86E94">
        <w:rPr>
          <w:rFonts w:ascii="Calibri" w:hAnsi="Calibri"/>
          <w:u w:val="single"/>
        </w:rPr>
        <w:t>Discuss</w:t>
      </w:r>
      <w:r w:rsidR="00E07248">
        <w:rPr>
          <w:rFonts w:ascii="Calibri" w:hAnsi="Calibri"/>
          <w:u w:val="single"/>
        </w:rPr>
        <w:t>ion</w:t>
      </w:r>
    </w:p>
    <w:p w14:paraId="2EAC74B7" w14:textId="77777777" w:rsidR="003744AF" w:rsidRPr="00C86E94" w:rsidRDefault="003744AF" w:rsidP="00270C74">
      <w:pPr>
        <w:pStyle w:val="NormalWeb"/>
        <w:spacing w:before="0" w:beforeAutospacing="0" w:after="0" w:afterAutospacing="0"/>
        <w:jc w:val="both"/>
        <w:rPr>
          <w:rFonts w:ascii="Calibri" w:hAnsi="Calibri"/>
          <w:u w:val="single"/>
        </w:rPr>
      </w:pPr>
    </w:p>
    <w:p w14:paraId="319CB245" w14:textId="0457B914" w:rsidR="009E13E1" w:rsidRDefault="00613240" w:rsidP="00270C74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</w:rPr>
        <w:t>GIRFT’s</w:t>
      </w:r>
      <w:r w:rsidR="003744AF">
        <w:rPr>
          <w:rFonts w:ascii="Calibri" w:hAnsi="Calibri"/>
        </w:rPr>
        <w:t xml:space="preserve"> 48-hour </w:t>
      </w:r>
      <w:r w:rsidR="009E13E1">
        <w:rPr>
          <w:rFonts w:ascii="Calibri" w:hAnsi="Calibri"/>
        </w:rPr>
        <w:t>target</w:t>
      </w:r>
      <w:r w:rsidR="003744AF">
        <w:rPr>
          <w:rFonts w:ascii="Calibri" w:hAnsi="Calibri"/>
        </w:rPr>
        <w:t xml:space="preserve"> </w:t>
      </w:r>
      <w:r>
        <w:rPr>
          <w:rFonts w:ascii="Calibri" w:hAnsi="Calibri"/>
        </w:rPr>
        <w:t>is</w:t>
      </w:r>
      <w:r w:rsidR="009E13E1">
        <w:rPr>
          <w:rFonts w:ascii="Calibri" w:hAnsi="Calibri"/>
        </w:rPr>
        <w:t xml:space="preserve"> achievable</w:t>
      </w:r>
      <w:r w:rsidR="00E07248" w:rsidRPr="00E07248">
        <w:rPr>
          <w:rFonts w:ascii="Calibri" w:hAnsi="Calibri"/>
        </w:rPr>
        <w:t xml:space="preserve"> </w:t>
      </w:r>
      <w:r w:rsidR="00E07248">
        <w:rPr>
          <w:rFonts w:ascii="Calibri" w:hAnsi="Calibri"/>
        </w:rPr>
        <w:t>with diligent use of supportive therapies and avoidance of unnecessary IV antibiotic prescriptions</w:t>
      </w:r>
      <w:r w:rsidR="009E13E1">
        <w:rPr>
          <w:rFonts w:ascii="Calibri" w:hAnsi="Calibri"/>
        </w:rPr>
        <w:t xml:space="preserve">. We created a template operation note for use within our department and raised awareness of our findings. </w:t>
      </w:r>
      <w:r>
        <w:rPr>
          <w:rFonts w:ascii="Calibri" w:hAnsi="Calibri"/>
        </w:rPr>
        <w:t>Our re-audit identified</w:t>
      </w:r>
      <w:r w:rsidR="009E13E1">
        <w:rPr>
          <w:rFonts w:ascii="Calibri" w:hAnsi="Calibri"/>
        </w:rPr>
        <w:t xml:space="preserve"> a significant improvement in</w:t>
      </w:r>
      <w:r w:rsidR="00E07248">
        <w:rPr>
          <w:rFonts w:ascii="Calibri" w:hAnsi="Calibri"/>
        </w:rPr>
        <w:t xml:space="preserve"> average</w:t>
      </w:r>
      <w:r w:rsidR="009E13E1">
        <w:rPr>
          <w:rFonts w:ascii="Calibri" w:hAnsi="Calibri"/>
        </w:rPr>
        <w:t xml:space="preserve"> length of stay. </w:t>
      </w:r>
    </w:p>
    <w:p w14:paraId="642DFA1D" w14:textId="77777777" w:rsidR="003744AF" w:rsidRDefault="003744AF" w:rsidP="00270C74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</w:p>
    <w:p w14:paraId="52E12378" w14:textId="77777777" w:rsidR="003744AF" w:rsidRPr="00821EA3" w:rsidRDefault="003744AF" w:rsidP="00270C74">
      <w:pPr>
        <w:pStyle w:val="NormalWeb"/>
        <w:spacing w:before="0" w:beforeAutospacing="0" w:after="0" w:afterAutospacing="0"/>
        <w:jc w:val="both"/>
        <w:rPr>
          <w:rFonts w:ascii="Calibri" w:hAnsi="Calibri"/>
          <w:u w:val="single"/>
        </w:rPr>
      </w:pPr>
      <w:r w:rsidRPr="00821EA3">
        <w:rPr>
          <w:rFonts w:ascii="Calibri" w:hAnsi="Calibri"/>
          <w:u w:val="single"/>
        </w:rPr>
        <w:t>References</w:t>
      </w:r>
    </w:p>
    <w:p w14:paraId="221A92E1" w14:textId="77777777" w:rsidR="003744AF" w:rsidRPr="006B5428" w:rsidRDefault="003744AF" w:rsidP="00270C74">
      <w:pPr>
        <w:pStyle w:val="NormalWeb"/>
        <w:spacing w:before="0" w:beforeAutospacing="0" w:after="0" w:afterAutospacing="0"/>
        <w:jc w:val="both"/>
        <w:rPr>
          <w:rFonts w:ascii="Calibri" w:hAnsi="Calibri"/>
        </w:rPr>
      </w:pPr>
    </w:p>
    <w:p w14:paraId="708184DF" w14:textId="77777777" w:rsidR="003744AF" w:rsidRDefault="003744AF" w:rsidP="00270C74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</w:rPr>
        <w:t xml:space="preserve">Abercrombie J. General Surgery GIRFT </w:t>
      </w:r>
      <w:proofErr w:type="spellStart"/>
      <w:r>
        <w:rPr>
          <w:rFonts w:ascii="Calibri" w:hAnsi="Calibri"/>
        </w:rPr>
        <w:t>Programme</w:t>
      </w:r>
      <w:proofErr w:type="spellEnd"/>
      <w:r>
        <w:rPr>
          <w:rFonts w:ascii="Calibri" w:hAnsi="Calibri"/>
        </w:rPr>
        <w:t xml:space="preserve"> National Specialty Report [Internet]. Royal College of Surgeons &amp; NHS Improvement; 2017. Available from: </w:t>
      </w:r>
      <w:hyperlink r:id="rId5" w:history="1">
        <w:r w:rsidRPr="0039446C">
          <w:rPr>
            <w:rStyle w:val="Hyperlink"/>
            <w:rFonts w:ascii="Calibri" w:hAnsi="Calibri"/>
          </w:rPr>
          <w:t>http://gettingitrightfirsttime.co.uk/wp-content/uploads/2017/07/GIRFT-GeneralSurgeryReport-Aug17v1.pdf</w:t>
        </w:r>
      </w:hyperlink>
      <w:r>
        <w:rPr>
          <w:rFonts w:ascii="Calibri" w:hAnsi="Calibri"/>
        </w:rPr>
        <w:t xml:space="preserve">. </w:t>
      </w:r>
    </w:p>
    <w:p w14:paraId="33D355A0" w14:textId="77777777" w:rsidR="003744AF" w:rsidRDefault="003744AF" w:rsidP="00270C74">
      <w:pPr>
        <w:pStyle w:val="NormalWeb"/>
        <w:spacing w:before="0" w:beforeAutospacing="0" w:after="0" w:afterAutospacing="0"/>
        <w:ind w:left="720"/>
        <w:jc w:val="both"/>
        <w:rPr>
          <w:rFonts w:ascii="Calibri" w:hAnsi="Calibri"/>
        </w:rPr>
      </w:pPr>
    </w:p>
    <w:p w14:paraId="4D88A348" w14:textId="77777777" w:rsidR="003744AF" w:rsidRPr="00271798" w:rsidRDefault="003744AF" w:rsidP="00270C74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</w:rPr>
        <w:t xml:space="preserve">Park HC, Kim MJ, Lee BH. </w:t>
      </w:r>
      <w:proofErr w:type="spellStart"/>
      <w:r>
        <w:rPr>
          <w:rFonts w:ascii="Calibri" w:hAnsi="Calibri"/>
        </w:rPr>
        <w:t>Randomised</w:t>
      </w:r>
      <w:proofErr w:type="spellEnd"/>
      <w:r>
        <w:rPr>
          <w:rFonts w:ascii="Calibri" w:hAnsi="Calibri"/>
        </w:rPr>
        <w:t xml:space="preserve"> clinical trial of antibiotic therapy for uncomplicated appendicitis. British Journal of Surgery. 2017;104(13):1785-1790.</w:t>
      </w:r>
    </w:p>
    <w:p w14:paraId="38D9219A" w14:textId="77777777" w:rsidR="00FE77B2" w:rsidRDefault="00FE77B2" w:rsidP="00270C74">
      <w:pPr>
        <w:jc w:val="both"/>
      </w:pPr>
      <w:bookmarkStart w:id="0" w:name="_GoBack"/>
      <w:bookmarkEnd w:id="0"/>
    </w:p>
    <w:sectPr w:rsidR="00FE77B2" w:rsidSect="008931C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5C68F5"/>
    <w:multiLevelType w:val="hybridMultilevel"/>
    <w:tmpl w:val="89EC98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AF"/>
    <w:rsid w:val="00270C74"/>
    <w:rsid w:val="003744AF"/>
    <w:rsid w:val="0047385B"/>
    <w:rsid w:val="00541D85"/>
    <w:rsid w:val="00613240"/>
    <w:rsid w:val="0061393A"/>
    <w:rsid w:val="008931C6"/>
    <w:rsid w:val="009E13E1"/>
    <w:rsid w:val="00AD17B0"/>
    <w:rsid w:val="00E07248"/>
    <w:rsid w:val="00FD4254"/>
    <w:rsid w:val="00FE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310B2"/>
  <w15:chartTrackingRefBased/>
  <w15:docId w15:val="{ED707DC2-4949-0645-96DA-89C7FBE4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744A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744AF"/>
    <w:rPr>
      <w:color w:val="0000FF"/>
      <w:u w:val="single"/>
    </w:rPr>
  </w:style>
  <w:style w:type="paragraph" w:styleId="NormalWeb">
    <w:name w:val="Normal (Web)"/>
    <w:basedOn w:val="Normal"/>
    <w:uiPriority w:val="99"/>
    <w:rsid w:val="003744AF"/>
    <w:pPr>
      <w:spacing w:before="100" w:beforeAutospacing="1" w:after="100" w:afterAutospacing="1"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4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ettingitrightfirsttime.co.uk/wp-content/uploads/2017/07/GIRFT-GeneralSurgeryReport-Aug17v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Rudman</dc:creator>
  <cp:keywords/>
  <dc:description/>
  <cp:lastModifiedBy>Aimee Lloyd</cp:lastModifiedBy>
  <cp:revision>2</cp:revision>
  <dcterms:created xsi:type="dcterms:W3CDTF">2020-03-05T15:15:00Z</dcterms:created>
  <dcterms:modified xsi:type="dcterms:W3CDTF">2020-03-05T15:15:00Z</dcterms:modified>
</cp:coreProperties>
</file>