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9D" w:rsidRPr="00FE269D" w:rsidRDefault="00E37BD1" w:rsidP="00FE269D">
      <w:pPr>
        <w:autoSpaceDE w:val="0"/>
        <w:autoSpaceDN w:val="0"/>
        <w:adjustRightInd w:val="0"/>
        <w:jc w:val="center"/>
        <w:rPr>
          <w:rFonts w:eastAsia="Calibri"/>
          <w:b/>
          <w:bCs/>
          <w:sz w:val="28"/>
          <w:szCs w:val="28"/>
          <w:lang w:eastAsia="en-US"/>
        </w:rPr>
      </w:pPr>
      <w:r w:rsidRPr="005B7D07">
        <w:rPr>
          <w:b/>
          <w:iCs/>
          <w:color w:val="333333"/>
          <w:shd w:val="clear" w:color="auto" w:fill="FFFFFF"/>
        </w:rPr>
        <w:t xml:space="preserve">Title: </w:t>
      </w:r>
      <w:r w:rsidR="00FE269D" w:rsidRPr="00FE269D">
        <w:rPr>
          <w:rFonts w:eastAsia="Calibri"/>
          <w:b/>
          <w:bCs/>
          <w:sz w:val="28"/>
          <w:szCs w:val="28"/>
          <w:lang w:eastAsia="en-US"/>
        </w:rPr>
        <w:t xml:space="preserve">The Prevalence and Risk Factors of </w:t>
      </w:r>
      <w:bookmarkStart w:id="0" w:name="_Hlk11089588"/>
      <w:r w:rsidR="00FE269D" w:rsidRPr="00FE269D">
        <w:rPr>
          <w:rFonts w:eastAsia="Calibri"/>
          <w:b/>
          <w:bCs/>
          <w:sz w:val="28"/>
          <w:szCs w:val="28"/>
          <w:lang w:eastAsia="en-US"/>
        </w:rPr>
        <w:t xml:space="preserve">opportunistic intestinal </w:t>
      </w:r>
      <w:bookmarkEnd w:id="0"/>
      <w:r w:rsidR="00FE269D" w:rsidRPr="00FE269D">
        <w:rPr>
          <w:rFonts w:eastAsia="Calibri"/>
          <w:b/>
          <w:bCs/>
          <w:sz w:val="28"/>
          <w:szCs w:val="28"/>
          <w:lang w:eastAsia="en-US"/>
        </w:rPr>
        <w:t xml:space="preserve">parasites, </w:t>
      </w:r>
      <w:bookmarkStart w:id="1" w:name="_Hlk11089628"/>
      <w:r w:rsidR="00FE269D" w:rsidRPr="00FE269D">
        <w:rPr>
          <w:rFonts w:eastAsia="Calibri"/>
          <w:b/>
          <w:bCs/>
          <w:i/>
          <w:iCs/>
          <w:sz w:val="28"/>
          <w:szCs w:val="28"/>
          <w:lang w:eastAsia="en-US"/>
        </w:rPr>
        <w:t>Helicobacter pylori</w:t>
      </w:r>
      <w:r w:rsidR="00FE269D" w:rsidRPr="00FE269D">
        <w:rPr>
          <w:rFonts w:eastAsia="Calibri"/>
          <w:b/>
          <w:bCs/>
          <w:sz w:val="28"/>
          <w:szCs w:val="28"/>
          <w:lang w:eastAsia="en-US"/>
        </w:rPr>
        <w:t xml:space="preserve"> and co-infection </w:t>
      </w:r>
      <w:bookmarkEnd w:id="1"/>
      <w:r w:rsidR="00FE269D" w:rsidRPr="00FE269D">
        <w:rPr>
          <w:rFonts w:eastAsia="Calibri"/>
          <w:b/>
          <w:bCs/>
          <w:sz w:val="28"/>
          <w:szCs w:val="28"/>
          <w:lang w:eastAsia="en-US"/>
        </w:rPr>
        <w:t xml:space="preserve">among </w:t>
      </w:r>
      <w:bookmarkStart w:id="2" w:name="_Hlk11089652"/>
      <w:r w:rsidR="00FE269D" w:rsidRPr="00FE269D">
        <w:rPr>
          <w:rFonts w:eastAsia="Calibri"/>
          <w:b/>
          <w:bCs/>
          <w:sz w:val="28"/>
          <w:szCs w:val="28"/>
          <w:lang w:eastAsia="en-US"/>
        </w:rPr>
        <w:t xml:space="preserve">HIV </w:t>
      </w:r>
      <w:bookmarkEnd w:id="2"/>
      <w:r w:rsidR="00FE269D" w:rsidRPr="00FE269D">
        <w:rPr>
          <w:rFonts w:eastAsia="Calibri"/>
          <w:b/>
          <w:bCs/>
          <w:sz w:val="28"/>
          <w:szCs w:val="28"/>
          <w:lang w:eastAsia="en-US"/>
        </w:rPr>
        <w:t xml:space="preserve">patients       </w:t>
      </w:r>
    </w:p>
    <w:p w:rsidR="00DC433A" w:rsidRPr="005B7D07" w:rsidRDefault="00DC433A" w:rsidP="00A32C92">
      <w:pPr>
        <w:rPr>
          <w:b/>
          <w:iCs/>
          <w:color w:val="333333"/>
          <w:shd w:val="clear" w:color="auto" w:fill="FFFFFF"/>
        </w:rPr>
      </w:pPr>
    </w:p>
    <w:p w:rsidR="00A32C92" w:rsidRDefault="00E37BD1" w:rsidP="00A32C92">
      <w:r w:rsidRPr="005B7D07">
        <w:rPr>
          <w:iCs/>
          <w:color w:val="333333"/>
          <w:shd w:val="clear" w:color="auto" w:fill="FFFFFF"/>
        </w:rPr>
        <w:t xml:space="preserve">Name: </w:t>
      </w:r>
      <w:proofErr w:type="spellStart"/>
      <w:r w:rsidR="00FE269D">
        <w:t>Asmaa</w:t>
      </w:r>
      <w:proofErr w:type="spellEnd"/>
      <w:r w:rsidR="00FE269D">
        <w:t xml:space="preserve"> Ibrahim</w:t>
      </w:r>
    </w:p>
    <w:p w:rsidR="00E37BD1" w:rsidRPr="00FE269D" w:rsidRDefault="00E37BD1" w:rsidP="00FE269D">
      <w:pPr>
        <w:spacing w:line="360" w:lineRule="auto"/>
        <w:jc w:val="both"/>
        <w:rPr>
          <w:rFonts w:eastAsia="Times New Roman"/>
          <w:color w:val="000000"/>
          <w:shd w:val="clear" w:color="auto" w:fill="FFFFFF"/>
          <w:lang w:eastAsia="en-US" w:bidi="ar-EG"/>
        </w:rPr>
      </w:pPr>
      <w:r w:rsidRPr="005B7D07">
        <w:rPr>
          <w:iCs/>
          <w:color w:val="333333"/>
          <w:shd w:val="clear" w:color="auto" w:fill="FFFFFF"/>
        </w:rPr>
        <w:t xml:space="preserve">Affiliation: </w:t>
      </w:r>
      <w:r w:rsidR="00FE269D" w:rsidRPr="00FE269D">
        <w:rPr>
          <w:rFonts w:eastAsia="Times New Roman"/>
          <w:color w:val="000000"/>
          <w:shd w:val="clear" w:color="auto" w:fill="FFFFFF"/>
          <w:lang w:eastAsia="en-US"/>
        </w:rPr>
        <w:t>Genetic engineering and Biotechnology research institute,</w:t>
      </w:r>
      <w:r w:rsidR="00FE269D" w:rsidRPr="00FE269D">
        <w:rPr>
          <w:rFonts w:eastAsia="Times New Roman"/>
          <w:color w:val="000000"/>
          <w:lang w:eastAsia="en-US"/>
        </w:rPr>
        <w:t xml:space="preserve"> U</w:t>
      </w:r>
      <w:r w:rsidR="00FE269D" w:rsidRPr="00FE269D">
        <w:rPr>
          <w:rFonts w:eastAsia="Times New Roman"/>
          <w:color w:val="000000"/>
          <w:shd w:val="clear" w:color="auto" w:fill="FFFFFF"/>
          <w:lang w:eastAsia="en-US"/>
        </w:rPr>
        <w:t>niversity of Sadat City</w:t>
      </w:r>
      <w:r w:rsidR="00FE269D" w:rsidRPr="00FE269D">
        <w:rPr>
          <w:rFonts w:eastAsia="Times New Roman"/>
          <w:b/>
          <w:lang w:eastAsia="en-US"/>
        </w:rPr>
        <w:t xml:space="preserve"> (</w:t>
      </w:r>
      <w:r w:rsidR="00FE269D" w:rsidRPr="00FE269D">
        <w:rPr>
          <w:rFonts w:eastAsia="Times New Roman"/>
          <w:bCs/>
          <w:lang w:eastAsia="en-US"/>
        </w:rPr>
        <w:t>GEBRI, USC</w:t>
      </w:r>
      <w:r w:rsidR="00FE269D" w:rsidRPr="00FE269D">
        <w:rPr>
          <w:rFonts w:eastAsia="Times New Roman"/>
          <w:color w:val="000000"/>
          <w:shd w:val="clear" w:color="auto" w:fill="FFFFFF"/>
          <w:lang w:eastAsia="en-US"/>
        </w:rPr>
        <w:t>), Egypt</w:t>
      </w:r>
    </w:p>
    <w:p w:rsidR="00B8710A" w:rsidRPr="005B7D07" w:rsidRDefault="00E37BD1" w:rsidP="00A32C92">
      <w:pPr>
        <w:rPr>
          <w:color w:val="000000"/>
        </w:rPr>
      </w:pPr>
      <w:r w:rsidRPr="005B7D07">
        <w:rPr>
          <w:b/>
        </w:rPr>
        <w:t>Abstract</w:t>
      </w:r>
      <w:r w:rsidR="009215E3">
        <w:rPr>
          <w:b/>
        </w:rPr>
        <w:t xml:space="preserve"> </w:t>
      </w:r>
    </w:p>
    <w:p w:rsidR="00FE269D" w:rsidRPr="00FE269D" w:rsidRDefault="00FE269D" w:rsidP="00FE269D">
      <w:pPr>
        <w:autoSpaceDE w:val="0"/>
        <w:autoSpaceDN w:val="0"/>
        <w:adjustRightInd w:val="0"/>
        <w:spacing w:line="360" w:lineRule="auto"/>
        <w:jc w:val="both"/>
        <w:rPr>
          <w:rFonts w:eastAsia="Calibri"/>
          <w:lang w:eastAsia="en-US"/>
        </w:rPr>
      </w:pPr>
      <w:r w:rsidRPr="00FE269D">
        <w:rPr>
          <w:rFonts w:eastAsia="Calibri"/>
          <w:b/>
          <w:bCs/>
          <w:lang w:eastAsia="en-US"/>
        </w:rPr>
        <w:t>Background and objective</w:t>
      </w:r>
      <w:r w:rsidRPr="00FE269D">
        <w:rPr>
          <w:rFonts w:eastAsia="Calibri"/>
          <w:lang w:eastAsia="en-US"/>
        </w:rPr>
        <w:t xml:space="preserve">: Parasitic infections and </w:t>
      </w:r>
      <w:r w:rsidRPr="00FE269D">
        <w:rPr>
          <w:rFonts w:eastAsia="Calibri"/>
          <w:i/>
          <w:iCs/>
          <w:lang w:eastAsia="en-US"/>
        </w:rPr>
        <w:t>Helicobacter pylori</w:t>
      </w:r>
      <w:r w:rsidRPr="00FE269D">
        <w:rPr>
          <w:rFonts w:eastAsia="Calibri"/>
          <w:lang w:eastAsia="en-US"/>
        </w:rPr>
        <w:t xml:space="preserve"> (</w:t>
      </w:r>
      <w:proofErr w:type="spellStart"/>
      <w:r w:rsidRPr="00FE269D">
        <w:rPr>
          <w:rFonts w:eastAsia="Calibri"/>
          <w:i/>
          <w:iCs/>
          <w:lang w:eastAsia="en-US"/>
        </w:rPr>
        <w:t>H.pylori</w:t>
      </w:r>
      <w:proofErr w:type="spellEnd"/>
      <w:r w:rsidRPr="00FE269D">
        <w:rPr>
          <w:rFonts w:eastAsia="Calibri"/>
          <w:lang w:eastAsia="en-US"/>
        </w:rPr>
        <w:t xml:space="preserve">) constitute a main public health problem in </w:t>
      </w:r>
      <w:proofErr w:type="spellStart"/>
      <w:r w:rsidRPr="00FE269D">
        <w:rPr>
          <w:rFonts w:eastAsia="Calibri"/>
          <w:lang w:eastAsia="en-US"/>
        </w:rPr>
        <w:t>immunocompromised</w:t>
      </w:r>
      <w:proofErr w:type="spellEnd"/>
      <w:r w:rsidRPr="00FE269D">
        <w:rPr>
          <w:rFonts w:eastAsia="Calibri"/>
          <w:lang w:eastAsia="en-US"/>
        </w:rPr>
        <w:t xml:space="preserve"> populations, especially in HIV patients. Each of them infects the gastrointestinal tract with similar clinical symptoms. This study was performed to determine the prevalence of </w:t>
      </w:r>
      <w:r w:rsidRPr="00FE269D">
        <w:rPr>
          <w:rFonts w:eastAsia="Calibri"/>
          <w:i/>
          <w:iCs/>
          <w:lang w:eastAsia="en-US"/>
        </w:rPr>
        <w:t>H. pylori</w:t>
      </w:r>
      <w:r w:rsidRPr="00FE269D">
        <w:rPr>
          <w:rFonts w:eastAsia="Calibri"/>
          <w:lang w:eastAsia="en-US"/>
        </w:rPr>
        <w:t xml:space="preserve"> and its association with opportunistic parasites in HIV patients, moreover to estimate risk and predictive factors for co-infection.</w:t>
      </w:r>
    </w:p>
    <w:p w:rsidR="00FE269D" w:rsidRPr="00FE269D" w:rsidRDefault="00FE269D" w:rsidP="00FE269D">
      <w:pPr>
        <w:autoSpaceDE w:val="0"/>
        <w:autoSpaceDN w:val="0"/>
        <w:adjustRightInd w:val="0"/>
        <w:spacing w:line="360" w:lineRule="auto"/>
        <w:jc w:val="both"/>
        <w:rPr>
          <w:rFonts w:eastAsia="Calibri"/>
          <w:lang w:eastAsia="en-US"/>
        </w:rPr>
      </w:pPr>
      <w:r w:rsidRPr="00FE269D">
        <w:rPr>
          <w:rFonts w:eastAsia="Calibri"/>
          <w:b/>
          <w:bCs/>
          <w:lang w:eastAsia="en-US"/>
        </w:rPr>
        <w:t>Methodology</w:t>
      </w:r>
      <w:r w:rsidRPr="00FE269D">
        <w:rPr>
          <w:rFonts w:eastAsia="Calibri"/>
          <w:lang w:eastAsia="en-US"/>
        </w:rPr>
        <w:t xml:space="preserve">: Single fecal samples were collected from 70 HIV patients in Khartoum State, Sudan, with age ranging from 13years to 60 years. All stool samples were microscopically examined using Iodine and acid-fast stain to detect ova, cyst and coccidian. </w:t>
      </w:r>
      <w:proofErr w:type="spellStart"/>
      <w:r w:rsidRPr="00FE269D">
        <w:rPr>
          <w:rFonts w:eastAsia="Calibri"/>
          <w:lang w:eastAsia="en-US"/>
        </w:rPr>
        <w:t>Copro</w:t>
      </w:r>
      <w:proofErr w:type="spellEnd"/>
      <w:r w:rsidRPr="00FE269D">
        <w:rPr>
          <w:rFonts w:eastAsia="Calibri"/>
          <w:lang w:eastAsia="en-US"/>
        </w:rPr>
        <w:t xml:space="preserve">-DNAs detection of </w:t>
      </w:r>
      <w:r w:rsidRPr="00FE269D">
        <w:rPr>
          <w:rFonts w:eastAsia="Calibri"/>
          <w:i/>
          <w:iCs/>
          <w:lang w:eastAsia="en-US"/>
        </w:rPr>
        <w:t>H. pylori</w:t>
      </w:r>
      <w:r w:rsidRPr="00FE269D">
        <w:rPr>
          <w:rFonts w:eastAsia="Calibri"/>
          <w:lang w:eastAsia="en-US"/>
        </w:rPr>
        <w:t xml:space="preserve"> and </w:t>
      </w:r>
      <w:r w:rsidRPr="00FE269D">
        <w:rPr>
          <w:rFonts w:eastAsia="Calibri"/>
          <w:i/>
          <w:iCs/>
          <w:lang w:eastAsia="en-US"/>
        </w:rPr>
        <w:t>Cryptosporidium</w:t>
      </w:r>
      <w:r w:rsidRPr="00FE269D">
        <w:rPr>
          <w:rFonts w:eastAsia="Calibri"/>
          <w:lang w:eastAsia="en-US"/>
        </w:rPr>
        <w:t xml:space="preserve"> were performed using </w:t>
      </w:r>
      <w:bookmarkStart w:id="3" w:name="_Hlk11089897"/>
      <w:r w:rsidRPr="00FE269D">
        <w:rPr>
          <w:rFonts w:eastAsia="Calibri"/>
          <w:lang w:eastAsia="en-US"/>
        </w:rPr>
        <w:t xml:space="preserve">nested-PCR </w:t>
      </w:r>
      <w:bookmarkEnd w:id="3"/>
      <w:r w:rsidRPr="00FE269D">
        <w:rPr>
          <w:rFonts w:eastAsia="Calibri"/>
          <w:lang w:eastAsia="en-US"/>
        </w:rPr>
        <w:t>assays.</w:t>
      </w:r>
    </w:p>
    <w:p w:rsidR="00FE269D" w:rsidRPr="00FE269D" w:rsidRDefault="00FE269D" w:rsidP="00FE269D">
      <w:pPr>
        <w:autoSpaceDE w:val="0"/>
        <w:autoSpaceDN w:val="0"/>
        <w:adjustRightInd w:val="0"/>
        <w:spacing w:line="360" w:lineRule="auto"/>
        <w:jc w:val="both"/>
        <w:rPr>
          <w:rFonts w:eastAsia="Calibri"/>
          <w:b/>
          <w:bCs/>
          <w:lang w:eastAsia="en-US"/>
        </w:rPr>
      </w:pPr>
      <w:r w:rsidRPr="00FE269D">
        <w:rPr>
          <w:rFonts w:eastAsia="Calibri"/>
          <w:b/>
          <w:bCs/>
          <w:lang w:eastAsia="en-US"/>
        </w:rPr>
        <w:t>Results</w:t>
      </w:r>
      <w:r w:rsidRPr="00FE269D">
        <w:rPr>
          <w:rFonts w:eastAsia="Calibri"/>
          <w:lang w:eastAsia="en-US"/>
        </w:rPr>
        <w:t>:</w:t>
      </w:r>
      <w:r w:rsidRPr="00FE269D">
        <w:rPr>
          <w:rFonts w:eastAsia="Calibri"/>
          <w:i/>
          <w:iCs/>
          <w:lang w:eastAsia="en-US"/>
        </w:rPr>
        <w:t xml:space="preserve"> </w:t>
      </w:r>
      <w:proofErr w:type="spellStart"/>
      <w:r w:rsidRPr="00FE269D">
        <w:rPr>
          <w:rFonts w:eastAsia="Calibri"/>
          <w:i/>
          <w:iCs/>
          <w:lang w:eastAsia="en-US"/>
        </w:rPr>
        <w:t>H.pylori</w:t>
      </w:r>
      <w:proofErr w:type="spellEnd"/>
      <w:r w:rsidRPr="00FE269D">
        <w:rPr>
          <w:rFonts w:eastAsia="Calibri"/>
          <w:lang w:eastAsia="en-US"/>
        </w:rPr>
        <w:t xml:space="preserve"> was detected in 21.4% of HIV individuals molecularly; also opportunistic and intestinal parasites were detected in 74.3%, with the predominance of </w:t>
      </w:r>
      <w:r w:rsidRPr="00FE269D">
        <w:rPr>
          <w:rFonts w:eastAsia="Times New Roman"/>
          <w:i/>
          <w:iCs/>
          <w:lang w:eastAsia="en-US" w:bidi="ar-EG"/>
        </w:rPr>
        <w:t>Cryptosporidium</w:t>
      </w:r>
      <w:r w:rsidRPr="00FE269D">
        <w:rPr>
          <w:rFonts w:eastAsia="Times New Roman"/>
          <w:lang w:eastAsia="en-US" w:bidi="ar-EG"/>
        </w:rPr>
        <w:t>,</w:t>
      </w:r>
      <w:r w:rsidRPr="00FE269D">
        <w:rPr>
          <w:rFonts w:eastAsia="Times New Roman"/>
          <w:i/>
          <w:iCs/>
          <w:lang w:eastAsia="en-US" w:bidi="ar-EG"/>
        </w:rPr>
        <w:t xml:space="preserve"> E. </w:t>
      </w:r>
      <w:proofErr w:type="spellStart"/>
      <w:r w:rsidRPr="00FE269D">
        <w:rPr>
          <w:rFonts w:eastAsia="Times New Roman"/>
          <w:i/>
          <w:iCs/>
          <w:lang w:eastAsia="en-US" w:bidi="ar-EG"/>
        </w:rPr>
        <w:t>histolytica</w:t>
      </w:r>
      <w:proofErr w:type="spellEnd"/>
      <w:r w:rsidRPr="00FE269D">
        <w:rPr>
          <w:rFonts w:eastAsia="Times New Roman"/>
          <w:lang w:eastAsia="en-US" w:bidi="ar-EG"/>
        </w:rPr>
        <w:t xml:space="preserve"> </w:t>
      </w:r>
      <w:r w:rsidRPr="00FE269D">
        <w:rPr>
          <w:rFonts w:eastAsia="Calibri"/>
          <w:lang w:eastAsia="en-US"/>
        </w:rPr>
        <w:t xml:space="preserve">and </w:t>
      </w:r>
      <w:proofErr w:type="spellStart"/>
      <w:r w:rsidRPr="00FE269D">
        <w:rPr>
          <w:rFonts w:eastAsia="Times New Roman"/>
          <w:i/>
          <w:iCs/>
          <w:lang w:eastAsia="en-US" w:bidi="ar-EG"/>
        </w:rPr>
        <w:t>G.duodinalis</w:t>
      </w:r>
      <w:proofErr w:type="spellEnd"/>
      <w:r w:rsidRPr="00FE269D">
        <w:rPr>
          <w:rFonts w:eastAsia="Times New Roman"/>
          <w:lang w:eastAsia="en-US" w:bidi="ar-EG"/>
        </w:rPr>
        <w:t xml:space="preserve"> (28.5%, 27.1</w:t>
      </w:r>
      <w:r w:rsidRPr="00FE269D">
        <w:rPr>
          <w:rFonts w:eastAsia="Calibri"/>
          <w:lang w:eastAsia="en-US"/>
        </w:rPr>
        <w:t xml:space="preserve">%, and 22.8% respectively). 36.5% had co-infection with H. pylori colonized patients and associated with </w:t>
      </w:r>
      <w:r w:rsidRPr="00FE269D">
        <w:rPr>
          <w:rFonts w:eastAsia="Calibri"/>
          <w:i/>
          <w:iCs/>
          <w:lang w:eastAsia="en-US"/>
        </w:rPr>
        <w:t>Cryptosporidium spp</w:t>
      </w:r>
      <w:r w:rsidRPr="00FE269D">
        <w:rPr>
          <w:rFonts w:eastAsia="Calibri"/>
          <w:lang w:eastAsia="en-US"/>
        </w:rPr>
        <w:t xml:space="preserve">. and </w:t>
      </w:r>
      <w:r w:rsidRPr="00FE269D">
        <w:rPr>
          <w:rFonts w:eastAsia="Calibri"/>
          <w:i/>
          <w:iCs/>
          <w:lang w:eastAsia="en-US"/>
        </w:rPr>
        <w:t xml:space="preserve">G. </w:t>
      </w:r>
      <w:proofErr w:type="spellStart"/>
      <w:r w:rsidRPr="00FE269D">
        <w:rPr>
          <w:rFonts w:eastAsia="Calibri"/>
          <w:i/>
          <w:iCs/>
          <w:lang w:eastAsia="en-US"/>
        </w:rPr>
        <w:t>intestinalis</w:t>
      </w:r>
      <w:proofErr w:type="spellEnd"/>
      <w:r w:rsidRPr="00FE269D">
        <w:rPr>
          <w:rFonts w:eastAsia="Calibri"/>
          <w:lang w:eastAsia="en-US"/>
        </w:rPr>
        <w:t xml:space="preserve">. Abdominal pain and diarrhea showed significant association with co-infection of </w:t>
      </w:r>
      <w:r w:rsidRPr="00FE269D">
        <w:rPr>
          <w:rFonts w:eastAsia="Calibri"/>
          <w:i/>
          <w:iCs/>
          <w:lang w:eastAsia="en-US"/>
        </w:rPr>
        <w:t>Cryptosporidium</w:t>
      </w:r>
      <w:r w:rsidRPr="00FE269D">
        <w:rPr>
          <w:rFonts w:eastAsia="Calibri"/>
          <w:lang w:eastAsia="en-US"/>
        </w:rPr>
        <w:t xml:space="preserve">, </w:t>
      </w:r>
      <w:proofErr w:type="spellStart"/>
      <w:r w:rsidRPr="00FE269D">
        <w:rPr>
          <w:rFonts w:eastAsia="Calibri"/>
          <w:i/>
          <w:iCs/>
          <w:lang w:eastAsia="en-US"/>
        </w:rPr>
        <w:t>Isospora</w:t>
      </w:r>
      <w:proofErr w:type="spellEnd"/>
      <w:r w:rsidRPr="00FE269D">
        <w:rPr>
          <w:rFonts w:eastAsia="Calibri"/>
          <w:lang w:eastAsia="en-US"/>
        </w:rPr>
        <w:t xml:space="preserve">, other parasites and </w:t>
      </w:r>
      <w:proofErr w:type="spellStart"/>
      <w:r w:rsidRPr="00FE269D">
        <w:rPr>
          <w:rFonts w:eastAsia="Calibri"/>
          <w:i/>
          <w:iCs/>
          <w:lang w:eastAsia="en-US"/>
        </w:rPr>
        <w:t>H.pylori</w:t>
      </w:r>
      <w:proofErr w:type="spellEnd"/>
      <w:r w:rsidRPr="00FE269D">
        <w:rPr>
          <w:rFonts w:eastAsia="Calibri"/>
          <w:lang w:eastAsia="en-US"/>
        </w:rPr>
        <w:t>.</w:t>
      </w:r>
    </w:p>
    <w:p w:rsidR="00FE269D" w:rsidRPr="00FE269D" w:rsidRDefault="00FE269D" w:rsidP="00FE269D">
      <w:pPr>
        <w:autoSpaceDE w:val="0"/>
        <w:autoSpaceDN w:val="0"/>
        <w:adjustRightInd w:val="0"/>
        <w:spacing w:line="360" w:lineRule="auto"/>
        <w:jc w:val="both"/>
        <w:rPr>
          <w:rFonts w:eastAsia="Calibri"/>
          <w:b/>
          <w:bCs/>
          <w:lang w:eastAsia="en-US"/>
        </w:rPr>
      </w:pPr>
      <w:r w:rsidRPr="00FE269D">
        <w:rPr>
          <w:rFonts w:eastAsia="Calibri"/>
          <w:b/>
          <w:bCs/>
          <w:lang w:eastAsia="en-US"/>
        </w:rPr>
        <w:t>Conclusion:</w:t>
      </w:r>
      <w:r w:rsidRPr="00FE269D">
        <w:rPr>
          <w:rFonts w:eastAsia="Calibri"/>
          <w:lang w:eastAsia="en-US"/>
        </w:rPr>
        <w:t xml:space="preserve"> Our findings provide a good understanding of H. pylori infection epidemiology in HIV patients when associated with opportunistic and intestinal parasites. </w:t>
      </w:r>
      <w:r w:rsidRPr="00FE269D">
        <w:rPr>
          <w:rFonts w:eastAsia="Calibri"/>
          <w:i/>
          <w:iCs/>
          <w:lang w:eastAsia="en-US"/>
        </w:rPr>
        <w:t>H. pylori</w:t>
      </w:r>
      <w:r w:rsidRPr="00FE269D">
        <w:rPr>
          <w:rFonts w:eastAsia="Calibri"/>
          <w:lang w:eastAsia="en-US"/>
        </w:rPr>
        <w:t xml:space="preserve"> co-occurrence with </w:t>
      </w:r>
      <w:r w:rsidRPr="00FE269D">
        <w:rPr>
          <w:rFonts w:eastAsia="Calibri"/>
          <w:i/>
          <w:iCs/>
          <w:lang w:eastAsia="en-US"/>
        </w:rPr>
        <w:t>Cryptosporidium</w:t>
      </w:r>
      <w:r w:rsidRPr="00FE269D">
        <w:rPr>
          <w:rFonts w:eastAsia="Calibri"/>
          <w:lang w:eastAsia="en-US"/>
        </w:rPr>
        <w:t xml:space="preserve"> may support the hypothesis of co-infection. Whether </w:t>
      </w:r>
      <w:r w:rsidRPr="00FE269D">
        <w:rPr>
          <w:rFonts w:eastAsia="Calibri"/>
          <w:i/>
          <w:iCs/>
          <w:lang w:eastAsia="en-US"/>
        </w:rPr>
        <w:t>H. pylori</w:t>
      </w:r>
      <w:r w:rsidRPr="00FE269D">
        <w:rPr>
          <w:rFonts w:eastAsia="Calibri"/>
          <w:lang w:eastAsia="en-US"/>
        </w:rPr>
        <w:t xml:space="preserve"> provide suitable conditions for opportunistic and intestinal parasites or vice versa, further investigations are still needed to confirm the correlation of gut </w:t>
      </w:r>
      <w:proofErr w:type="spellStart"/>
      <w:r w:rsidRPr="00FE269D">
        <w:rPr>
          <w:rFonts w:eastAsia="Calibri"/>
          <w:lang w:eastAsia="en-US"/>
        </w:rPr>
        <w:t>microbiomes</w:t>
      </w:r>
      <w:proofErr w:type="spellEnd"/>
      <w:r w:rsidRPr="00FE269D">
        <w:rPr>
          <w:rFonts w:eastAsia="Calibri"/>
          <w:b/>
          <w:bCs/>
          <w:lang w:eastAsia="en-US"/>
        </w:rPr>
        <w:t>.</w:t>
      </w:r>
    </w:p>
    <w:p w:rsidR="00FE269D" w:rsidRDefault="00FE269D" w:rsidP="00A32C92">
      <w:pPr>
        <w:rPr>
          <w:b/>
        </w:rPr>
      </w:pPr>
    </w:p>
    <w:p w:rsidR="00FE269D" w:rsidRDefault="00FE269D" w:rsidP="00A32C92">
      <w:pPr>
        <w:rPr>
          <w:b/>
        </w:rPr>
      </w:pPr>
    </w:p>
    <w:p w:rsidR="00FE269D" w:rsidRDefault="00FE269D" w:rsidP="00A32C92">
      <w:pPr>
        <w:rPr>
          <w:b/>
        </w:rPr>
      </w:pPr>
    </w:p>
    <w:p w:rsidR="00FE269D" w:rsidRDefault="00FE269D" w:rsidP="00A32C92">
      <w:pPr>
        <w:rPr>
          <w:b/>
        </w:rPr>
      </w:pPr>
    </w:p>
    <w:p w:rsidR="00FE269D" w:rsidRDefault="00FE269D" w:rsidP="00A32C92">
      <w:pPr>
        <w:rPr>
          <w:b/>
        </w:rPr>
      </w:pPr>
    </w:p>
    <w:p w:rsidR="00FE269D" w:rsidRDefault="00FE269D" w:rsidP="00A32C92">
      <w:pPr>
        <w:rPr>
          <w:b/>
        </w:rPr>
      </w:pPr>
    </w:p>
    <w:p w:rsidR="00FE269D" w:rsidRDefault="00FE269D" w:rsidP="00A32C92">
      <w:pPr>
        <w:rPr>
          <w:b/>
        </w:rPr>
      </w:pPr>
    </w:p>
    <w:p w:rsidR="00FE269D" w:rsidRDefault="00FE269D" w:rsidP="00A32C92">
      <w:pPr>
        <w:rPr>
          <w:b/>
        </w:rPr>
      </w:pPr>
    </w:p>
    <w:p w:rsidR="00CE6677" w:rsidRPr="005B7D07" w:rsidRDefault="00B8710A" w:rsidP="00A32C92">
      <w:pPr>
        <w:rPr>
          <w:b/>
        </w:rPr>
      </w:pPr>
      <w:r w:rsidRPr="005B7D07">
        <w:rPr>
          <w:b/>
        </w:rPr>
        <w:lastRenderedPageBreak/>
        <w:t>Biography</w:t>
      </w:r>
      <w:r w:rsidR="009215E3">
        <w:rPr>
          <w:b/>
        </w:rPr>
        <w:t xml:space="preserve"> </w:t>
      </w:r>
    </w:p>
    <w:p w:rsidR="007D233A" w:rsidRPr="00FE269D" w:rsidRDefault="00FE269D" w:rsidP="00FE269D">
      <w:pPr>
        <w:spacing w:line="360" w:lineRule="auto"/>
        <w:jc w:val="both"/>
        <w:rPr>
          <w:rFonts w:eastAsia="Times New Roman"/>
          <w:color w:val="000000"/>
          <w:shd w:val="clear" w:color="auto" w:fill="FFFFFF"/>
          <w:lang w:eastAsia="en-US" w:bidi="ar-EG"/>
        </w:rPr>
      </w:pPr>
      <w:proofErr w:type="spellStart"/>
      <w:r>
        <w:t>Asmaa</w:t>
      </w:r>
      <w:proofErr w:type="spellEnd"/>
      <w:r>
        <w:t xml:space="preserve"> </w:t>
      </w:r>
      <w:proofErr w:type="gramStart"/>
      <w:r>
        <w:t xml:space="preserve">Ibrahim </w:t>
      </w:r>
      <w:r w:rsidR="00D841B1" w:rsidRPr="005B7D07">
        <w:t xml:space="preserve"> has</w:t>
      </w:r>
      <w:proofErr w:type="gramEnd"/>
      <w:r w:rsidR="00D841B1" w:rsidRPr="005B7D07">
        <w:t xml:space="preserve"> completed </w:t>
      </w:r>
      <w:r w:rsidR="005B7D07" w:rsidRPr="005B7D07">
        <w:t>her</w:t>
      </w:r>
      <w:r w:rsidR="00D841B1" w:rsidRPr="005B7D07">
        <w:t xml:space="preserve"> </w:t>
      </w:r>
      <w:r>
        <w:t>MSc</w:t>
      </w:r>
      <w:r w:rsidR="00E37BD1" w:rsidRPr="005B7D07">
        <w:t xml:space="preserve"> at the age of </w:t>
      </w:r>
      <w:r>
        <w:t>29</w:t>
      </w:r>
      <w:r w:rsidR="00E37BD1" w:rsidRPr="005B7D07">
        <w:t xml:space="preserve"> years from</w:t>
      </w:r>
      <w:r>
        <w:t xml:space="preserve"> </w:t>
      </w:r>
      <w:r w:rsidRPr="00FE269D">
        <w:rPr>
          <w:rFonts w:eastAsia="Times New Roman"/>
          <w:color w:val="000000"/>
          <w:shd w:val="clear" w:color="auto" w:fill="FFFFFF"/>
          <w:lang w:eastAsia="en-US"/>
        </w:rPr>
        <w:t>Genetic engineering and Biotechnology research institute,</w:t>
      </w:r>
      <w:r w:rsidRPr="00FE269D">
        <w:rPr>
          <w:rFonts w:eastAsia="Times New Roman"/>
          <w:color w:val="000000"/>
          <w:lang w:eastAsia="en-US"/>
        </w:rPr>
        <w:t xml:space="preserve"> U</w:t>
      </w:r>
      <w:r w:rsidRPr="00FE269D">
        <w:rPr>
          <w:rFonts w:eastAsia="Times New Roman"/>
          <w:color w:val="000000"/>
          <w:shd w:val="clear" w:color="auto" w:fill="FFFFFF"/>
          <w:lang w:eastAsia="en-US"/>
        </w:rPr>
        <w:t>niversity of Sadat City</w:t>
      </w:r>
      <w:r w:rsidRPr="00FE269D">
        <w:rPr>
          <w:rFonts w:eastAsia="Times New Roman"/>
          <w:b/>
          <w:lang w:eastAsia="en-US"/>
        </w:rPr>
        <w:t xml:space="preserve"> (</w:t>
      </w:r>
      <w:r w:rsidRPr="00FE269D">
        <w:rPr>
          <w:rFonts w:eastAsia="Times New Roman"/>
          <w:bCs/>
          <w:lang w:eastAsia="en-US"/>
        </w:rPr>
        <w:t>GEBRI, USC</w:t>
      </w:r>
      <w:r w:rsidRPr="00FE269D">
        <w:rPr>
          <w:rFonts w:eastAsia="Times New Roman"/>
          <w:color w:val="000000"/>
          <w:shd w:val="clear" w:color="auto" w:fill="FFFFFF"/>
          <w:lang w:eastAsia="en-US"/>
        </w:rPr>
        <w:t>), Egypt</w:t>
      </w:r>
      <w:r>
        <w:rPr>
          <w:rFonts w:eastAsia="Times New Roman"/>
          <w:color w:val="000000"/>
          <w:shd w:val="clear" w:color="auto" w:fill="FFFFFF"/>
          <w:lang w:eastAsia="en-US" w:bidi="ar-EG"/>
        </w:rPr>
        <w:t>.</w:t>
      </w:r>
      <w:r>
        <w:t xml:space="preserve"> </w:t>
      </w:r>
      <w:r w:rsidR="005B7D07" w:rsidRPr="005B7D07">
        <w:t>She</w:t>
      </w:r>
      <w:r w:rsidR="00F848FD" w:rsidRPr="005B7D07">
        <w:t xml:space="preserve"> </w:t>
      </w:r>
      <w:r w:rsidR="005B7D07" w:rsidRPr="005B7D07">
        <w:t xml:space="preserve">has </w:t>
      </w:r>
      <w:r>
        <w:t xml:space="preserve">one </w:t>
      </w:r>
      <w:proofErr w:type="spellStart"/>
      <w:r>
        <w:t>puplication</w:t>
      </w:r>
      <w:proofErr w:type="spellEnd"/>
      <w:r>
        <w:t xml:space="preserve"> and number of submitted articles which have been preceded.</w:t>
      </w:r>
      <w:r w:rsidR="005B7D07" w:rsidRPr="005B7D07">
        <w:t xml:space="preserve"> </w:t>
      </w:r>
    </w:p>
    <w:p w:rsidR="007D233A" w:rsidRDefault="007D233A" w:rsidP="005B7D07"/>
    <w:p w:rsidR="007D233A" w:rsidRDefault="000F6C4B" w:rsidP="00FE269D">
      <w:pPr>
        <w:jc w:val="right"/>
      </w:pPr>
      <w:r>
        <w:t xml:space="preserve">Email ID: </w:t>
      </w:r>
      <w:r w:rsidR="00FE269D">
        <w:t>chemistasmaain@gmail.com</w:t>
      </w:r>
    </w:p>
    <w:p w:rsidR="005B7D07" w:rsidRDefault="005B7D07" w:rsidP="00FE269D">
      <w:r>
        <w:t>Presenter Name:</w:t>
      </w:r>
      <w:r w:rsidR="00FE269D">
        <w:t xml:space="preserve"> </w:t>
      </w:r>
      <w:proofErr w:type="spellStart"/>
      <w:r w:rsidR="00FE269D">
        <w:t>Asmaa</w:t>
      </w:r>
      <w:proofErr w:type="spellEnd"/>
      <w:r w:rsidR="00FE269D">
        <w:t xml:space="preserve"> Ibrahim Nasr</w:t>
      </w:r>
      <w:r w:rsidR="00B057F9">
        <w:t>.</w:t>
      </w:r>
    </w:p>
    <w:p w:rsidR="006758A2" w:rsidRDefault="00C556E2" w:rsidP="005B7D07">
      <w:r>
        <w:rPr>
          <w:noProof/>
          <w:lang w:eastAsia="en-US"/>
        </w:rPr>
        <mc:AlternateContent>
          <mc:Choice Requires="wps">
            <w:drawing>
              <wp:anchor distT="0" distB="0" distL="114300" distR="114300" simplePos="0" relativeHeight="251658240" behindDoc="0" locked="0" layoutInCell="1" allowOverlap="1" wp14:anchorId="25040C43" wp14:editId="27571ACB">
                <wp:simplePos x="0" y="0"/>
                <wp:positionH relativeFrom="column">
                  <wp:posOffset>3633849</wp:posOffset>
                </wp:positionH>
                <wp:positionV relativeFrom="paragraph">
                  <wp:posOffset>164671</wp:posOffset>
                </wp:positionV>
                <wp:extent cx="2279650" cy="3194463"/>
                <wp:effectExtent l="0" t="0" r="25400" b="2540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3194463"/>
                        </a:xfrm>
                        <a:prstGeom prst="rect">
                          <a:avLst/>
                        </a:prstGeom>
                        <a:solidFill>
                          <a:srgbClr val="FFFFFF"/>
                        </a:solidFill>
                        <a:ln w="9525">
                          <a:solidFill>
                            <a:srgbClr val="000000"/>
                          </a:solidFill>
                          <a:miter lim="800000"/>
                          <a:headEnd/>
                          <a:tailEnd/>
                        </a:ln>
                      </wps:spPr>
                      <wps:txbx>
                        <w:txbxContent>
                          <w:p w:rsidR="00A32C92" w:rsidRDefault="00C556E2" w:rsidP="000F6C4B">
                            <w:pPr>
                              <w:rPr>
                                <w:lang w:val="en-IN"/>
                              </w:rPr>
                            </w:pPr>
                            <w:r>
                              <w:rPr>
                                <w:noProof/>
                                <w:lang w:eastAsia="en-US"/>
                              </w:rPr>
                              <w:drawing>
                                <wp:inline distT="0" distB="0" distL="0" distR="0" wp14:anchorId="33AECFC5" wp14:editId="5465884A">
                                  <wp:extent cx="2446317" cy="31465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1ce6c-e4a7-4969-8f44-0ee7029d97bb.jpg"/>
                                          <pic:cNvPicPr/>
                                        </pic:nvPicPr>
                                        <pic:blipFill>
                                          <a:blip r:embed="rId8">
                                            <a:extLst>
                                              <a:ext uri="{28A0092B-C50C-407E-A947-70E740481C1C}">
                                                <a14:useLocalDpi xmlns:a14="http://schemas.microsoft.com/office/drawing/2010/main" val="0"/>
                                              </a:ext>
                                            </a:extLst>
                                          </a:blip>
                                          <a:stretch>
                                            <a:fillRect/>
                                          </a:stretch>
                                        </pic:blipFill>
                                        <pic:spPr>
                                          <a:xfrm>
                                            <a:off x="0" y="0"/>
                                            <a:ext cx="2452688" cy="3154744"/>
                                          </a:xfrm>
                                          <a:prstGeom prst="rect">
                                            <a:avLst/>
                                          </a:prstGeom>
                                        </pic:spPr>
                                      </pic:pic>
                                    </a:graphicData>
                                  </a:graphic>
                                </wp:inline>
                              </w:drawing>
                            </w:r>
                          </w:p>
                          <w:p w:rsidR="00A32C92" w:rsidRPr="001F1383" w:rsidRDefault="00A32C92" w:rsidP="000F6C4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86.15pt;margin-top:12.95pt;width:179.5pt;height:251.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">
                <v:textbox>
                  <w:txbxContent>
                    <w:p w:rsidR="00A32C92" w:rsidRDefault="00C556E2" w:rsidP="000F6C4B">
                      <w:pPr>
                        <w:rPr>
                          <w:lang w:val="en-IN"/>
                        </w:rPr>
                      </w:pPr>
                      <w:r>
                        <w:rPr>
                          <w:noProof/>
                          <w:lang w:eastAsia="en-US"/>
                        </w:rPr>
                        <w:drawing>
                          <wp:inline distT="0" distB="0" distL="0" distR="0" wp14:anchorId="33AECFC5" wp14:editId="5465884A">
                            <wp:extent cx="2446317" cy="31465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1ce6c-e4a7-4969-8f44-0ee7029d97bb.jpg"/>
                                    <pic:cNvPicPr/>
                                  </pic:nvPicPr>
                                  <pic:blipFill>
                                    <a:blip r:embed="rId8">
                                      <a:extLst>
                                        <a:ext uri="{28A0092B-C50C-407E-A947-70E740481C1C}">
                                          <a14:useLocalDpi xmlns:a14="http://schemas.microsoft.com/office/drawing/2010/main" val="0"/>
                                        </a:ext>
                                      </a:extLst>
                                    </a:blip>
                                    <a:stretch>
                                      <a:fillRect/>
                                    </a:stretch>
                                  </pic:blipFill>
                                  <pic:spPr>
                                    <a:xfrm>
                                      <a:off x="0" y="0"/>
                                      <a:ext cx="2452688" cy="3154744"/>
                                    </a:xfrm>
                                    <a:prstGeom prst="rect">
                                      <a:avLst/>
                                    </a:prstGeom>
                                  </pic:spPr>
                                </pic:pic>
                              </a:graphicData>
                            </a:graphic>
                          </wp:inline>
                        </w:drawing>
                      </w:r>
                    </w:p>
                    <w:p w:rsidR="00A32C92" w:rsidRPr="001F1383" w:rsidRDefault="00A32C92" w:rsidP="000F6C4B">
                      <w:pPr>
                        <w:rPr>
                          <w:lang w:val="en-IN"/>
                        </w:rPr>
                      </w:pPr>
                    </w:p>
                  </w:txbxContent>
                </v:textbox>
              </v:rect>
            </w:pict>
          </mc:Fallback>
        </mc:AlternateContent>
      </w:r>
      <w:r w:rsidR="005B7D07">
        <w:t>Type of Presentation: Speaker</w:t>
      </w:r>
    </w:p>
    <w:p w:rsidR="000F6C4B" w:rsidRDefault="00FE269D" w:rsidP="00FE269D">
      <w:r>
        <w:t>Contact Number: 01004004675</w:t>
      </w:r>
    </w:p>
    <w:p w:rsidR="000F6C4B" w:rsidRDefault="000F6C4B" w:rsidP="005B7D07"/>
    <w:p w:rsidR="000F6C4B" w:rsidRDefault="000F6C4B" w:rsidP="005B7D07"/>
    <w:p w:rsidR="000F6C4B" w:rsidRPr="005B7D07" w:rsidRDefault="000F6C4B" w:rsidP="005B7D07"/>
    <w:sectPr w:rsidR="000F6C4B" w:rsidRPr="005B7D07" w:rsidSect="00A7284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A0E" w:rsidRDefault="00F24A0E" w:rsidP="00BD61DA">
      <w:r>
        <w:separator/>
      </w:r>
    </w:p>
  </w:endnote>
  <w:endnote w:type="continuationSeparator" w:id="0">
    <w:p w:rsidR="00F24A0E" w:rsidRDefault="00F24A0E"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9D" w:rsidRDefault="00FE26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C92" w:rsidRDefault="00A32C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9D" w:rsidRDefault="00FE26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A0E" w:rsidRDefault="00F24A0E" w:rsidP="00BD61DA">
      <w:r>
        <w:separator/>
      </w:r>
    </w:p>
  </w:footnote>
  <w:footnote w:type="continuationSeparator" w:id="0">
    <w:p w:rsidR="00F24A0E" w:rsidRDefault="00F24A0E"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9D" w:rsidRDefault="00FE26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9D" w:rsidRDefault="00FE26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9D" w:rsidRDefault="00FE269D">
    <w:pPr>
      <w:pStyle w:val="Header"/>
    </w:pPr>
    <w:bookmarkStart w:id="4" w:name="_GoBack"/>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32C92"/>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56E2"/>
    <w:rsid w:val="00C578FF"/>
    <w:rsid w:val="00C828BF"/>
    <w:rsid w:val="00CE6677"/>
    <w:rsid w:val="00D605F8"/>
    <w:rsid w:val="00D734FE"/>
    <w:rsid w:val="00D841B1"/>
    <w:rsid w:val="00DC433A"/>
    <w:rsid w:val="00E37BD1"/>
    <w:rsid w:val="00E63452"/>
    <w:rsid w:val="00ED2B89"/>
    <w:rsid w:val="00F24A0E"/>
    <w:rsid w:val="00F26034"/>
    <w:rsid w:val="00F848FD"/>
    <w:rsid w:val="00FE26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2609D-4011-4361-ADE2-DC93B45FC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elasad</cp:lastModifiedBy>
  <cp:revision>2</cp:revision>
  <dcterms:created xsi:type="dcterms:W3CDTF">2019-10-04T10:46:00Z</dcterms:created>
  <dcterms:modified xsi:type="dcterms:W3CDTF">2019-10-04T10:46:00Z</dcterms:modified>
</cp:coreProperties>
</file>