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Gövde"/>
        <w:spacing w:line="480" w:lineRule="auto"/>
        <w:jc w:val="center"/>
        <w:rPr>
          <w:rFonts w:ascii="Times New Roman" w:cs="Times New Roman" w:hAnsi="Times New Roman" w:eastAsia="Times New Roman"/>
          <w:b w:val="1"/>
          <w:bCs w:val="1"/>
          <w:color w:val="000000"/>
          <w:sz w:val="28"/>
          <w:szCs w:val="28"/>
          <w:u w:color="000000"/>
          <w:shd w:val="clear" w:color="auto" w:fill="ffffff"/>
        </w:rPr>
      </w:pPr>
      <w:r>
        <w:rPr>
          <w:rFonts w:ascii="Times New Roman" w:cs="Calibri" w:hAnsi="Times New Roman" w:eastAsia="Calibri"/>
          <w:b w:val="1"/>
          <w:bCs w:val="1"/>
          <w:color w:val="000000"/>
          <w:sz w:val="28"/>
          <w:szCs w:val="28"/>
          <w:u w:color="000000"/>
          <w:shd w:val="clear" w:color="auto" w:fill="ffffff"/>
          <w:rtl w:val="0"/>
          <w:lang w:val="en-US"/>
        </w:rPr>
        <w:t>A Study for Questionnaire: The Self-Concept in Social Media</w:t>
      </w:r>
    </w:p>
    <w:p>
      <w:pPr>
        <w:pStyle w:val="Gövde"/>
        <w:spacing w:line="480" w:lineRule="auto"/>
        <w:rPr>
          <w:b w:val="1"/>
          <w:bCs w:val="1"/>
          <w:color w:val="000000"/>
          <w:u w:color="000000"/>
          <w:shd w:val="clear" w:color="auto" w:fill="ffffff"/>
          <w:lang w:val="en-US"/>
        </w:rPr>
      </w:pPr>
    </w:p>
    <w:p>
      <w:pPr>
        <w:pStyle w:val="Gövde"/>
        <w:spacing w:line="480" w:lineRule="auto"/>
        <w:jc w:val="center"/>
        <w:rPr>
          <w:rFonts w:ascii="Times New Roman" w:cs="Times New Roman" w:hAnsi="Times New Roman" w:eastAsia="Times New Roman"/>
          <w:color w:val="000000"/>
          <w:sz w:val="24"/>
          <w:szCs w:val="24"/>
          <w:u w:color="000000"/>
          <w:shd w:val="clear" w:color="auto" w:fill="ffffff"/>
        </w:rPr>
      </w:pPr>
      <w:r>
        <w:rPr>
          <w:rFonts w:ascii="Times New Roman" w:cs="Calibri" w:hAnsi="Times New Roman" w:eastAsia="Calibri"/>
          <w:color w:val="000000"/>
          <w:sz w:val="24"/>
          <w:szCs w:val="24"/>
          <w:u w:color="000000"/>
          <w:shd w:val="clear" w:color="auto" w:fill="ffffff"/>
          <w:rtl w:val="0"/>
          <w:lang w:val="en-US"/>
        </w:rPr>
        <w:t>Recep Minga, Feyzanur Ko</w:t>
      </w:r>
      <w:r>
        <w:rPr>
          <w:rFonts w:ascii="Times New Roman" w:cs="Calibri" w:hAnsi="Times New Roman" w:eastAsia="Calibri" w:hint="default"/>
          <w:color w:val="000000"/>
          <w:sz w:val="24"/>
          <w:szCs w:val="24"/>
          <w:u w:color="000000"/>
          <w:shd w:val="clear" w:color="auto" w:fill="ffffff"/>
          <w:rtl w:val="0"/>
          <w:lang w:val="en-US"/>
        </w:rPr>
        <w:t>ç</w:t>
      </w:r>
      <w:r>
        <w:rPr>
          <w:rFonts w:ascii="Times New Roman" w:cs="Calibri" w:hAnsi="Times New Roman" w:eastAsia="Calibri"/>
          <w:color w:val="000000"/>
          <w:sz w:val="24"/>
          <w:szCs w:val="24"/>
          <w:u w:color="000000"/>
          <w:shd w:val="clear" w:color="auto" w:fill="ffffff"/>
          <w:rtl w:val="0"/>
          <w:lang w:val="en-US"/>
        </w:rPr>
        <w:t>yi</w:t>
      </w:r>
      <w:r>
        <w:rPr>
          <w:rFonts w:ascii="Times New Roman" w:cs="Calibri" w:hAnsi="Times New Roman" w:eastAsia="Calibri" w:hint="default"/>
          <w:color w:val="000000"/>
          <w:sz w:val="24"/>
          <w:szCs w:val="24"/>
          <w:u w:color="000000"/>
          <w:shd w:val="clear" w:color="auto" w:fill="ffffff"/>
          <w:rtl w:val="0"/>
          <w:lang w:val="en-US"/>
        </w:rPr>
        <w:t>ğ</w:t>
      </w:r>
      <w:r>
        <w:rPr>
          <w:rFonts w:ascii="Times New Roman" w:cs="Calibri" w:hAnsi="Times New Roman" w:eastAsia="Calibri"/>
          <w:color w:val="000000"/>
          <w:sz w:val="24"/>
          <w:szCs w:val="24"/>
          <w:u w:color="000000"/>
          <w:shd w:val="clear" w:color="auto" w:fill="ffffff"/>
          <w:rtl w:val="0"/>
          <w:lang w:val="en-US"/>
        </w:rPr>
        <w:t>it, Gizem T</w:t>
      </w:r>
      <w:r>
        <w:rPr>
          <w:rFonts w:ascii="Times New Roman" w:cs="Calibri" w:hAnsi="Times New Roman" w:eastAsia="Calibri" w:hint="default"/>
          <w:color w:val="000000"/>
          <w:sz w:val="24"/>
          <w:szCs w:val="24"/>
          <w:u w:color="000000"/>
          <w:shd w:val="clear" w:color="auto" w:fill="ffffff"/>
          <w:rtl w:val="0"/>
          <w:lang w:val="en-US"/>
        </w:rPr>
        <w:t>ü</w:t>
      </w:r>
      <w:r>
        <w:rPr>
          <w:rFonts w:ascii="Times New Roman" w:cs="Calibri" w:hAnsi="Times New Roman" w:eastAsia="Calibri"/>
          <w:color w:val="000000"/>
          <w:sz w:val="24"/>
          <w:szCs w:val="24"/>
          <w:u w:color="000000"/>
          <w:shd w:val="clear" w:color="auto" w:fill="ffffff"/>
          <w:rtl w:val="0"/>
          <w:lang w:val="en-US"/>
        </w:rPr>
        <w:t xml:space="preserve">zen, </w:t>
      </w:r>
      <w:r>
        <w:rPr>
          <w:rFonts w:ascii="Times New Roman" w:cs="Calibri" w:hAnsi="Times New Roman" w:eastAsia="Calibri" w:hint="default"/>
          <w:color w:val="000000"/>
          <w:sz w:val="24"/>
          <w:szCs w:val="24"/>
          <w:u w:color="000000"/>
          <w:shd w:val="clear" w:color="auto" w:fill="ffffff"/>
          <w:rtl w:val="0"/>
          <w:lang w:val="en-US"/>
        </w:rPr>
        <w:t>Ş</w:t>
      </w:r>
      <w:r>
        <w:rPr>
          <w:rFonts w:ascii="Times New Roman" w:cs="Calibri" w:hAnsi="Times New Roman" w:eastAsia="Calibri"/>
          <w:color w:val="000000"/>
          <w:sz w:val="24"/>
          <w:szCs w:val="24"/>
          <w:u w:color="000000"/>
          <w:shd w:val="clear" w:color="auto" w:fill="ffffff"/>
          <w:rtl w:val="0"/>
          <w:lang w:val="en-US"/>
        </w:rPr>
        <w:t>. Bilkan Y</w:t>
      </w:r>
      <w:r>
        <w:rPr>
          <w:rFonts w:ascii="Times New Roman" w:cs="Calibri" w:hAnsi="Times New Roman" w:eastAsia="Calibri" w:hint="default"/>
          <w:color w:val="000000"/>
          <w:sz w:val="24"/>
          <w:szCs w:val="24"/>
          <w:u w:color="000000"/>
          <w:shd w:val="clear" w:color="auto" w:fill="ffffff"/>
          <w:rtl w:val="0"/>
          <w:lang w:val="en-US"/>
        </w:rPr>
        <w:t>ı</w:t>
      </w:r>
      <w:r>
        <w:rPr>
          <w:rFonts w:ascii="Times New Roman" w:cs="Calibri" w:hAnsi="Times New Roman" w:eastAsia="Calibri"/>
          <w:color w:val="000000"/>
          <w:sz w:val="24"/>
          <w:szCs w:val="24"/>
          <w:u w:color="000000"/>
          <w:shd w:val="clear" w:color="auto" w:fill="ffffff"/>
          <w:rtl w:val="0"/>
          <w:lang w:val="en-US"/>
        </w:rPr>
        <w:t>lmaz</w:t>
      </w:r>
    </w:p>
    <w:p>
      <w:pPr>
        <w:pStyle w:val="Gövde"/>
        <w:spacing w:line="480" w:lineRule="auto"/>
        <w:jc w:val="center"/>
        <w:rPr>
          <w:rFonts w:ascii="Times New Roman" w:cs="Times New Roman" w:hAnsi="Times New Roman" w:eastAsia="Times New Roman"/>
          <w:color w:val="000000"/>
          <w:sz w:val="20"/>
          <w:szCs w:val="20"/>
          <w:u w:color="000000"/>
          <w:shd w:val="clear" w:color="auto" w:fill="ffffff"/>
        </w:rPr>
      </w:pPr>
      <w:r>
        <w:rPr>
          <w:rFonts w:ascii="Times New Roman" w:cs="Calibri" w:hAnsi="Times New Roman" w:eastAsia="Calibri"/>
          <w:color w:val="000000"/>
          <w:sz w:val="20"/>
          <w:szCs w:val="20"/>
          <w:u w:color="000000"/>
          <w:shd w:val="clear" w:color="auto" w:fill="ffffff"/>
          <w:rtl w:val="0"/>
          <w:lang w:val="en-US"/>
        </w:rPr>
        <w:t xml:space="preserve">The University of Medipol, </w:t>
      </w:r>
      <w:r>
        <w:rPr>
          <w:rFonts w:ascii="Times New Roman" w:cs="Calibri" w:hAnsi="Times New Roman" w:eastAsia="Calibri" w:hint="default"/>
          <w:color w:val="000000"/>
          <w:sz w:val="20"/>
          <w:szCs w:val="20"/>
          <w:u w:color="000000"/>
          <w:shd w:val="clear" w:color="auto" w:fill="ffffff"/>
          <w:rtl w:val="0"/>
          <w:lang w:val="en-US"/>
        </w:rPr>
        <w:t>İ</w:t>
      </w:r>
      <w:r>
        <w:rPr>
          <w:rFonts w:ascii="Times New Roman" w:cs="Calibri" w:hAnsi="Times New Roman" w:eastAsia="Calibri"/>
          <w:color w:val="000000"/>
          <w:sz w:val="20"/>
          <w:szCs w:val="20"/>
          <w:u w:color="000000"/>
          <w:shd w:val="clear" w:color="auto" w:fill="ffffff"/>
          <w:rtl w:val="0"/>
          <w:lang w:val="en-US"/>
        </w:rPr>
        <w:t>stanbul</w:t>
      </w:r>
    </w:p>
    <w:p>
      <w:pPr>
        <w:pStyle w:val="Gövde"/>
        <w:tabs>
          <w:tab w:val="left" w:pos="2036"/>
        </w:tabs>
        <w:spacing w:line="480" w:lineRule="auto"/>
        <w:ind w:firstLine="708"/>
        <w:jc w:val="both"/>
        <w:rPr>
          <w:rFonts w:ascii="Calibri" w:cs="Calibri" w:hAnsi="Calibri" w:eastAsia="Calibri"/>
          <w:b w:val="1"/>
          <w:bCs w:val="1"/>
          <w:color w:val="222222"/>
          <w:u w:color="222222"/>
          <w:shd w:val="clear" w:color="auto" w:fill="ffffff"/>
          <w:lang w:val="en-US"/>
        </w:rPr>
      </w:pPr>
      <w:r>
        <w:rPr>
          <w:rFonts w:ascii="Calibri" w:cs="Calibri" w:hAnsi="Calibri" w:eastAsia="Calibri"/>
          <w:b w:val="1"/>
          <w:bCs w:val="1"/>
          <w:color w:val="000000"/>
          <w:sz w:val="20"/>
          <w:szCs w:val="20"/>
          <w:u w:color="000000"/>
          <w:shd w:val="clear" w:color="auto" w:fill="ffffff"/>
        </w:rPr>
        <w:tab/>
        <w:tab/>
        <w:tab/>
        <w:tab/>
        <w:tab/>
      </w:r>
      <w:r>
        <w:rPr>
          <w:rFonts w:ascii="Calibri" w:cs="Calibri" w:hAnsi="Calibri" w:eastAsia="Calibri"/>
          <w:b w:val="1"/>
          <w:bCs w:val="1"/>
          <w:color w:val="222222"/>
          <w:u w:color="222222"/>
          <w:shd w:val="clear" w:color="auto" w:fill="ffffff"/>
          <w:rtl w:val="0"/>
          <w:lang w:val="en-US"/>
        </w:rPr>
        <w:t>Abstract</w:t>
      </w:r>
    </w:p>
    <w:p>
      <w:pPr>
        <w:pStyle w:val="Gövde"/>
        <w:tabs>
          <w:tab w:val="left" w:pos="2036"/>
        </w:tabs>
        <w:spacing w:line="480" w:lineRule="auto"/>
        <w:ind w:firstLine="708"/>
        <w:jc w:val="both"/>
        <w:rPr>
          <w:rFonts w:ascii="Calibri" w:cs="Calibri" w:hAnsi="Calibri" w:eastAsia="Calibri"/>
        </w:rPr>
      </w:pPr>
      <w:r>
        <w:rPr>
          <w:rFonts w:ascii="Calibri" w:cs="Calibri" w:hAnsi="Calibri" w:eastAsia="Calibri"/>
          <w:color w:val="222222"/>
          <w:u w:color="222222"/>
          <w:shd w:val="clear" w:color="auto" w:fill="ffffff"/>
          <w:rtl w:val="0"/>
          <w:lang w:val="en-US"/>
        </w:rPr>
        <w:t>T</w:t>
      </w:r>
      <w:r>
        <w:rPr>
          <w:rFonts w:ascii="Calibri" w:cs="Calibri" w:hAnsi="Calibri" w:eastAsia="Calibri"/>
          <w:color w:val="222222"/>
          <w:u w:color="222222"/>
          <w:shd w:val="clear" w:color="auto" w:fill="ffffff"/>
          <w:rtl w:val="0"/>
          <w:lang w:val="en-US"/>
        </w:rPr>
        <w:t>his study aims to measure the level of self-concept in social media by a scale that consists of 30 items. Social media is one of the latest extensions of technological developments and it offers individuals to express themselves. These innovations have given rise to an important field of research in psychology to understand human behavior through social media. To be examined individuals' psychological state in social media, it is important to know whether people truly reflect themselves on there, or not. The purpose of this scale is measuring to what extend people reflect themselves in social media.</w:t>
      </w:r>
      <w:r>
        <w:rPr>
          <w:rFonts w:ascii="Calibri" w:cs="Calibri" w:hAnsi="Calibri" w:eastAsia="Calibri"/>
          <w:rtl w:val="0"/>
          <w:lang w:val="en-US"/>
        </w:rPr>
        <w:t xml:space="preserve"> As the analyzing method, exploratory factory analysis and confirmatory factor analysis are used. The reliability and the internal consistency values of the measures acquired from the factor analysis are also calculated.</w:t>
      </w:r>
      <w:r>
        <w:rPr>
          <w:rFonts w:ascii="Calibri" w:cs="Calibri" w:hAnsi="Calibri" w:eastAsia="Calibri"/>
          <w:rtl w:val="0"/>
        </w:rPr>
        <w:t xml:space="preserve"> </w:t>
      </w:r>
      <w:r>
        <w:rPr>
          <w:rFonts w:ascii="Calibri" w:cs="Calibri" w:hAnsi="Calibri" w:eastAsia="Calibri"/>
          <w:rtl w:val="0"/>
          <w:lang w:val="en-US"/>
        </w:rPr>
        <w:t>The 42 items prepared in total and the data file was created in field application by reaching 750 participants.</w:t>
      </w:r>
      <w:r>
        <w:rPr>
          <w:rFonts w:ascii="Calibri" w:cs="Calibri" w:hAnsi="Calibri" w:eastAsia="Calibri"/>
          <w:rtl w:val="0"/>
          <w:lang w:val="en-US"/>
        </w:rPr>
        <w:t xml:space="preserve"> </w:t>
      </w:r>
      <w:r>
        <w:rPr>
          <w:rFonts w:ascii="Calibri" w:cs="Calibri" w:hAnsi="Calibri" w:eastAsia="Calibri"/>
          <w:rtl w:val="0"/>
          <w:lang w:val="en-US"/>
        </w:rPr>
        <w:t xml:space="preserve">According to the explanatory </w:t>
      </w:r>
      <w:r>
        <w:rPr>
          <w:rFonts w:ascii="Calibri" w:cs="Calibri" w:hAnsi="Calibri" w:eastAsia="Calibri"/>
          <w:rtl w:val="0"/>
          <w:lang w:val="en-US"/>
        </w:rPr>
        <w:t xml:space="preserve">and confirmatory </w:t>
      </w:r>
      <w:r>
        <w:rPr>
          <w:rFonts w:ascii="Calibri" w:cs="Calibri" w:hAnsi="Calibri" w:eastAsia="Calibri"/>
          <w:rtl w:val="0"/>
          <w:lang w:val="en-US"/>
        </w:rPr>
        <w:t xml:space="preserve">factor analysis resulting with 30 items and 5 dimensions, KMO value in </w:t>
      </w:r>
      <w:r>
        <w:rPr>
          <w:rFonts w:ascii="Calibri" w:cs="Calibri" w:hAnsi="Calibri" w:eastAsia="Calibri"/>
          <w:rtl w:val="0"/>
          <w:lang w:val="en-US"/>
        </w:rPr>
        <w:t>all</w:t>
      </w:r>
      <w:r>
        <w:rPr>
          <w:rFonts w:ascii="Calibri" w:cs="Calibri" w:hAnsi="Calibri" w:eastAsia="Calibri"/>
          <w:rtl w:val="0"/>
          <w:lang w:val="en-US"/>
        </w:rPr>
        <w:t xml:space="preserve"> dimensions is 0.956 and explanatory rate is %60.663.</w:t>
      </w:r>
      <w:r>
        <w:rPr>
          <w:rFonts w:ascii="Calibri" w:cs="Calibri" w:hAnsi="Calibri" w:eastAsia="Calibri"/>
          <w:rtl w:val="0"/>
        </w:rPr>
        <w:t xml:space="preserve"> </w:t>
      </w:r>
      <w:r>
        <w:rPr>
          <w:rFonts w:ascii="Calibri" w:cs="Calibri" w:hAnsi="Calibri" w:eastAsia="Calibri"/>
          <w:rtl w:val="0"/>
          <w:lang w:val="en-US"/>
        </w:rPr>
        <w:t xml:space="preserve">To what extend people reflect themselves on social media is an object of curiosity and this leads to the need for an inquiry process that will take a long time. However, this scale </w:t>
      </w:r>
      <w:r>
        <w:rPr>
          <w:rFonts w:ascii="Calibri" w:cs="Calibri" w:hAnsi="Calibri" w:eastAsia="Calibri"/>
          <w:rtl w:val="0"/>
          <w:lang w:val="en-US"/>
        </w:rPr>
        <w:t>can</w:t>
      </w:r>
      <w:r>
        <w:rPr>
          <w:rFonts w:ascii="Calibri" w:cs="Calibri" w:hAnsi="Calibri" w:eastAsia="Calibri"/>
          <w:rtl w:val="0"/>
          <w:lang w:val="en-US"/>
        </w:rPr>
        <w:t xml:space="preserve"> ma</w:t>
      </w:r>
      <w:r>
        <w:rPr>
          <w:rFonts w:ascii="Calibri" w:cs="Calibri" w:hAnsi="Calibri" w:eastAsia="Calibri"/>
          <w:rtl w:val="0"/>
          <w:lang w:val="en-US"/>
        </w:rPr>
        <w:t>ke</w:t>
      </w:r>
      <w:r>
        <w:rPr>
          <w:rFonts w:ascii="Calibri" w:cs="Calibri" w:hAnsi="Calibri" w:eastAsia="Calibri"/>
          <w:rtl w:val="0"/>
          <w:lang w:val="en-US"/>
        </w:rPr>
        <w:t xml:space="preserve"> it measurable by 30 </w:t>
      </w:r>
      <w:r>
        <w:rPr>
          <w:rFonts w:ascii="Calibri" w:cs="Calibri" w:hAnsi="Calibri" w:eastAsia="Calibri"/>
          <w:rtl w:val="0"/>
          <w:lang w:val="en-US"/>
        </w:rPr>
        <w:t>items and</w:t>
      </w:r>
      <w:r>
        <w:rPr>
          <w:rFonts w:ascii="Calibri" w:cs="Calibri" w:hAnsi="Calibri" w:eastAsia="Calibri"/>
          <w:rtl w:val="0"/>
          <w:lang w:val="en-US"/>
        </w:rPr>
        <w:t xml:space="preserve"> can be suitable for use in any study that investigates the reflection of human psychology in social media. That is to say, this scale is thought to contribute the field of current researches.</w:t>
      </w:r>
    </w:p>
    <w:p>
      <w:pPr>
        <w:pStyle w:val="Standard"/>
        <w:spacing w:line="480" w:lineRule="auto"/>
        <w:jc w:val="both"/>
        <w:rPr>
          <w:rFonts w:ascii="Times New Roman" w:cs="Times New Roman" w:hAnsi="Times New Roman" w:eastAsia="Times New Roman"/>
          <w:sz w:val="24"/>
          <w:szCs w:val="24"/>
        </w:rPr>
      </w:pPr>
    </w:p>
    <w:p>
      <w:pPr>
        <w:pStyle w:val="Standard"/>
        <w:spacing w:line="480" w:lineRule="auto"/>
        <w:jc w:val="both"/>
      </w:pPr>
      <w:r/>
    </w:p>
    <w:sectPr>
      <w:headerReference w:type="default" r:id="rId4"/>
      <w:footerReference w:type="default" r:id="rId5"/>
      <w:pgSz w:w="11900" w:h="16840" w:orient="portrait"/>
      <w:pgMar w:top="1417" w:right="1417" w:bottom="1417" w:left="1417"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aşlık ve Altlık"/>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046"/>
        <w:tab w:val="clear" w:pos="9072"/>
      </w:tabs>
      <w:jc w:val="right"/>
    </w:pPr>
    <w:r>
      <w:rPr/>
      <w:fldChar w:fldCharType="begin" w:fldLock="0"/>
    </w:r>
    <w:r>
      <w:instrText xml:space="preserve"> PAGE </w:instrText>
    </w:r>
    <w:r>
      <w:rPr/>
      <w:fldChar w:fldCharType="separate" w:fldLock="0"/>
    </w:r>
    <w:r>
      <w:t>1</w:t>
    </w:r>
    <w:r>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1"/>
  <w:evenAndOddHeaders w:val="0"/>
  <w:bookFoldPrinting w:val="0"/>
  <w:noLineBreaksAfter w:lang="Türkçe" w:val="‘“(〔[{〈《「『【⦅〘〖«〝︵︷︹︻︽︿﹁﹃﹇﹙﹛﹝｢"/>
  <w:noLineBreaksBefore w:lang="Türkçe"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36"/>
        <w:tab w:val="right" w:pos="9072"/>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aşlık ve Altlık">
    <w:name w:val="Başlık ve Altlık"/>
    <w:next w:val="Başlık ve Altlık"/>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Gövde">
    <w:name w:val="Gövde"/>
    <w:next w:val="Gövd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Standard">
    <w:name w:val="Standard"/>
    <w:next w:val="Standard"/>
    <w:pPr>
      <w:keepNext w:val="0"/>
      <w:keepLines w:val="0"/>
      <w:pageBreakBefore w:val="0"/>
      <w:widowControl w:val="1"/>
      <w:shd w:val="clear" w:color="auto" w:fill="auto"/>
      <w:suppressAutoHyphens w:val="1"/>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3"/>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is Teması">
  <a:themeElements>
    <a:clrScheme name="Ofis Teması">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is Teması">
      <a:majorFont>
        <a:latin typeface="Helvetica Neue"/>
        <a:ea typeface="Helvetica Neue"/>
        <a:cs typeface="Helvetica Neue"/>
      </a:majorFont>
      <a:minorFont>
        <a:latin typeface="Helvetica Neue"/>
        <a:ea typeface="Helvetica Neue"/>
        <a:cs typeface="Helvetica Neue"/>
      </a:minorFont>
    </a:fontScheme>
    <a:fmtScheme name="Ofis Teması">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