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CEC229F" w14:textId="77777777" w:rsidR="00AE3E37" w:rsidRDefault="00A97020" w:rsidP="00494130">
      <w:pPr>
        <w:pStyle w:val="Heading1"/>
        <w:spacing w:before="170"/>
        <w:ind w:left="0"/>
      </w:pPr>
      <w:proofErr w:type="spellStart"/>
      <w:r>
        <w:rPr>
          <w:color w:val="337AB7"/>
        </w:rPr>
        <w:t>Allocentric</w:t>
      </w:r>
      <w:proofErr w:type="spellEnd"/>
      <w:r>
        <w:rPr>
          <w:color w:val="337AB7"/>
        </w:rPr>
        <w:t xml:space="preserve"> vs. Egocentric Neglect in Stroke Patients: Assessment through Eye-Tracking and Impacts on Functional Outcome</w:t>
      </w:r>
    </w:p>
    <w:p w14:paraId="59F8E4FC" w14:textId="77777777" w:rsidR="00A97020" w:rsidRDefault="00A97020" w:rsidP="005973B9">
      <w:pPr>
        <w:pStyle w:val="BodyText"/>
        <w:spacing w:before="73" w:line="198" w:lineRule="exact"/>
        <w:ind w:left="100" w:right="5987"/>
        <w:rPr>
          <w:rFonts w:ascii="Arial"/>
        </w:rPr>
      </w:pPr>
      <w:r>
        <w:rPr>
          <w:rFonts w:ascii="Arial"/>
        </w:rPr>
        <w:t xml:space="preserve">Maya Libben, PhD, </w:t>
      </w:r>
      <w:proofErr w:type="spellStart"/>
      <w:r>
        <w:rPr>
          <w:rFonts w:ascii="Arial"/>
        </w:rPr>
        <w:t>R.Psych</w:t>
      </w:r>
      <w:proofErr w:type="spellEnd"/>
      <w:r>
        <w:rPr>
          <w:rFonts w:ascii="Arial"/>
        </w:rPr>
        <w:t>, University of British Columbia, Canada</w:t>
      </w:r>
    </w:p>
    <w:p w14:paraId="3C756C5E" w14:textId="77777777" w:rsidR="00A97020" w:rsidRDefault="00A97020" w:rsidP="003C059C">
      <w:pPr>
        <w:pStyle w:val="BodyText"/>
        <w:tabs>
          <w:tab w:val="left" w:pos="5812"/>
          <w:tab w:val="left" w:pos="6804"/>
        </w:tabs>
        <w:spacing w:before="73" w:line="198" w:lineRule="exact"/>
        <w:ind w:left="100" w:right="5987"/>
        <w:rPr>
          <w:rFonts w:ascii="Arial"/>
        </w:rPr>
      </w:pPr>
      <w:r>
        <w:rPr>
          <w:rFonts w:ascii="Arial"/>
        </w:rPr>
        <w:t>Jennifer Upshaw, MA, University of British Columbia, Canada</w:t>
      </w:r>
    </w:p>
    <w:p w14:paraId="7FCB1D4C" w14:textId="77777777"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14:paraId="2E2FF3EE" w14:textId="77777777" w:rsidR="00AE3E37" w:rsidRDefault="00A9710C">
      <w:pPr>
        <w:pStyle w:val="Heading3"/>
        <w:spacing w:before="147"/>
        <w:jc w:val="both"/>
      </w:pPr>
      <w:r>
        <w:rPr>
          <w:color w:val="BF5A14"/>
        </w:rPr>
        <w:lastRenderedPageBreak/>
        <w:t>Abstract</w:t>
      </w:r>
      <w:r w:rsidR="00404E5B">
        <w:rPr>
          <w:color w:val="BF5A14"/>
        </w:rPr>
        <w:t xml:space="preserve"> (300 word limit)</w:t>
      </w:r>
    </w:p>
    <w:p w14:paraId="00ADCD1A" w14:textId="2F2CC340" w:rsidR="00ED57DC" w:rsidRPr="00ED57DC" w:rsidRDefault="00ED57DC" w:rsidP="00ED57DC">
      <w:pPr>
        <w:jc w:val="both"/>
        <w:rPr>
          <w:rFonts w:ascii="Calibri" w:hAnsi="Calibri" w:cs="Times New Roman"/>
          <w:i/>
          <w:sz w:val="18"/>
          <w:szCs w:val="18"/>
        </w:rPr>
      </w:pPr>
      <w:r w:rsidRPr="00ED57DC">
        <w:rPr>
          <w:rFonts w:ascii="Calibri" w:hAnsi="Calibri"/>
          <w:sz w:val="18"/>
          <w:szCs w:val="18"/>
        </w:rPr>
        <w:t xml:space="preserve">Statement of the Problem: </w:t>
      </w:r>
      <w:proofErr w:type="spellStart"/>
      <w:r w:rsidRPr="00ED57DC">
        <w:rPr>
          <w:rFonts w:ascii="Calibri" w:hAnsi="Calibri" w:cs="Times New Roman"/>
          <w:sz w:val="18"/>
          <w:szCs w:val="18"/>
        </w:rPr>
        <w:t>Hemispatial</w:t>
      </w:r>
      <w:proofErr w:type="spellEnd"/>
      <w:r w:rsidRPr="00ED57DC">
        <w:rPr>
          <w:rFonts w:ascii="Calibri" w:hAnsi="Calibri" w:cs="Times New Roman"/>
          <w:sz w:val="18"/>
          <w:szCs w:val="18"/>
        </w:rPr>
        <w:t xml:space="preserve"> neglect is defined as a failure to report, respond, or orient to stimuli on the </w:t>
      </w:r>
      <w:proofErr w:type="spellStart"/>
      <w:r w:rsidRPr="00ED57DC">
        <w:rPr>
          <w:rFonts w:ascii="Calibri" w:hAnsi="Calibri" w:cs="Times New Roman"/>
          <w:sz w:val="18"/>
          <w:szCs w:val="18"/>
        </w:rPr>
        <w:t>contralesional</w:t>
      </w:r>
      <w:proofErr w:type="spellEnd"/>
      <w:r w:rsidRPr="00ED57DC">
        <w:rPr>
          <w:rFonts w:ascii="Calibri" w:hAnsi="Calibri" w:cs="Times New Roman"/>
          <w:sz w:val="18"/>
          <w:szCs w:val="18"/>
        </w:rPr>
        <w:t xml:space="preserve"> side of space</w:t>
      </w:r>
      <w:r w:rsidR="00071CC7">
        <w:rPr>
          <w:rFonts w:ascii="Calibri" w:hAnsi="Calibri" w:cs="Times New Roman"/>
          <w:sz w:val="18"/>
          <w:szCs w:val="18"/>
        </w:rPr>
        <w:t xml:space="preserve"> (Wong et al., 2017)</w:t>
      </w:r>
      <w:r w:rsidRPr="00ED57DC">
        <w:rPr>
          <w:rFonts w:ascii="Calibri" w:hAnsi="Calibri" w:cs="Times New Roman"/>
          <w:sz w:val="18"/>
          <w:szCs w:val="18"/>
        </w:rPr>
        <w:t xml:space="preserve">. Despite affecting up to two-thirds of right-hemisphere stroke patients (Parton et al., 2004), neglect is a relatively poorly understood phenomenon. Of particular importance to rehabilitation and clinical outcome studies is the differentiation between viewer-centered or egocentric neglect, and stimulus-centered or </w:t>
      </w:r>
      <w:proofErr w:type="spellStart"/>
      <w:r w:rsidRPr="00ED57DC">
        <w:rPr>
          <w:rFonts w:ascii="Calibri" w:hAnsi="Calibri" w:cs="Times New Roman"/>
          <w:sz w:val="18"/>
          <w:szCs w:val="18"/>
        </w:rPr>
        <w:t>allocentric</w:t>
      </w:r>
      <w:proofErr w:type="spellEnd"/>
      <w:r w:rsidRPr="00ED57DC">
        <w:rPr>
          <w:rFonts w:ascii="Calibri" w:hAnsi="Calibri" w:cs="Times New Roman"/>
          <w:sz w:val="18"/>
          <w:szCs w:val="18"/>
        </w:rPr>
        <w:t xml:space="preserve"> neglect (</w:t>
      </w:r>
      <w:proofErr w:type="spellStart"/>
      <w:r w:rsidRPr="00ED57DC">
        <w:rPr>
          <w:rFonts w:ascii="Calibri" w:hAnsi="Calibri" w:cs="Times New Roman"/>
          <w:sz w:val="18"/>
          <w:szCs w:val="18"/>
        </w:rPr>
        <w:t>Bickerton</w:t>
      </w:r>
      <w:proofErr w:type="spellEnd"/>
      <w:r w:rsidRPr="00ED57DC">
        <w:rPr>
          <w:rFonts w:ascii="Calibri" w:hAnsi="Calibri" w:cs="Times New Roman"/>
          <w:sz w:val="18"/>
          <w:szCs w:val="18"/>
        </w:rPr>
        <w:t xml:space="preserve"> </w:t>
      </w:r>
      <w:r w:rsidR="00071CC7">
        <w:rPr>
          <w:rFonts w:ascii="Calibri" w:hAnsi="Calibri" w:cs="Times New Roman"/>
          <w:sz w:val="18"/>
          <w:szCs w:val="18"/>
        </w:rPr>
        <w:t xml:space="preserve">et al., 2011; Marsh &amp; </w:t>
      </w:r>
      <w:proofErr w:type="spellStart"/>
      <w:r w:rsidR="00071CC7">
        <w:rPr>
          <w:rFonts w:ascii="Calibri" w:hAnsi="Calibri" w:cs="Times New Roman"/>
          <w:sz w:val="18"/>
          <w:szCs w:val="18"/>
        </w:rPr>
        <w:t>Hillis</w:t>
      </w:r>
      <w:proofErr w:type="spellEnd"/>
      <w:r w:rsidR="00A105F6">
        <w:rPr>
          <w:rFonts w:ascii="Calibri" w:hAnsi="Calibri" w:cs="Times New Roman"/>
          <w:sz w:val="18"/>
          <w:szCs w:val="18"/>
        </w:rPr>
        <w:t>, 2008, Ota et al., 2001). The current</w:t>
      </w:r>
      <w:r w:rsidRPr="00ED57DC">
        <w:rPr>
          <w:rFonts w:ascii="Calibri" w:hAnsi="Calibri" w:cs="Times New Roman"/>
          <w:sz w:val="18"/>
          <w:szCs w:val="18"/>
        </w:rPr>
        <w:t xml:space="preserve"> study aimed to a) develop a novel method of assessing neglect subtypes using eye-tracking technology; b) investigate specific patterns of attention associated with each subtype; and c) determine the relationship between neglect subtype and functional outcome.</w:t>
      </w:r>
      <w:r w:rsidRPr="00ED57DC">
        <w:rPr>
          <w:rFonts w:ascii="Calibri" w:hAnsi="Calibri" w:cs="Times New Roman"/>
          <w:i/>
          <w:sz w:val="18"/>
          <w:szCs w:val="18"/>
        </w:rPr>
        <w:t xml:space="preserve"> </w:t>
      </w:r>
      <w:r w:rsidRPr="00ED57DC">
        <w:rPr>
          <w:rFonts w:ascii="Calibri" w:hAnsi="Calibri"/>
          <w:sz w:val="18"/>
          <w:szCs w:val="18"/>
        </w:rPr>
        <w:t xml:space="preserve">Methodology: </w:t>
      </w:r>
      <w:r w:rsidRPr="00ED57DC">
        <w:rPr>
          <w:rFonts w:ascii="Calibri" w:hAnsi="Calibri" w:cs="Times New Roman"/>
          <w:sz w:val="18"/>
          <w:szCs w:val="18"/>
        </w:rPr>
        <w:t>Twenty acute stroke patients and twenty matched controls were administered comprehensive neuropsychological assessment batteries, a traditional pencil-and-paper assessment of neglect subtype</w:t>
      </w:r>
      <w:r w:rsidR="00071CC7">
        <w:rPr>
          <w:rFonts w:ascii="Calibri" w:hAnsi="Calibri" w:cs="Times New Roman"/>
          <w:sz w:val="18"/>
          <w:szCs w:val="18"/>
        </w:rPr>
        <w:t xml:space="preserve"> (</w:t>
      </w:r>
      <w:proofErr w:type="spellStart"/>
      <w:r w:rsidR="00071CC7">
        <w:rPr>
          <w:rFonts w:ascii="Calibri" w:hAnsi="Calibri" w:cs="Times New Roman"/>
          <w:sz w:val="18"/>
          <w:szCs w:val="18"/>
        </w:rPr>
        <w:t>Bickerton</w:t>
      </w:r>
      <w:proofErr w:type="spellEnd"/>
      <w:r w:rsidR="00071CC7">
        <w:rPr>
          <w:rFonts w:ascii="Calibri" w:hAnsi="Calibri" w:cs="Times New Roman"/>
          <w:sz w:val="18"/>
          <w:szCs w:val="18"/>
        </w:rPr>
        <w:t xml:space="preserve"> et al., 2011)</w:t>
      </w:r>
      <w:r w:rsidRPr="00ED57DC">
        <w:rPr>
          <w:rFonts w:ascii="Calibri" w:hAnsi="Calibri" w:cs="Times New Roman"/>
          <w:sz w:val="18"/>
          <w:szCs w:val="18"/>
        </w:rPr>
        <w:t xml:space="preserve">, </w:t>
      </w:r>
      <w:proofErr w:type="gramStart"/>
      <w:r w:rsidRPr="00ED57DC">
        <w:rPr>
          <w:rFonts w:ascii="Calibri" w:hAnsi="Calibri" w:cs="Times New Roman"/>
          <w:sz w:val="18"/>
          <w:szCs w:val="18"/>
        </w:rPr>
        <w:t>a</w:t>
      </w:r>
      <w:proofErr w:type="gramEnd"/>
      <w:r w:rsidRPr="00ED57DC">
        <w:rPr>
          <w:rFonts w:ascii="Calibri" w:hAnsi="Calibri" w:cs="Times New Roman"/>
          <w:sz w:val="18"/>
          <w:szCs w:val="18"/>
        </w:rPr>
        <w:t xml:space="preserve"> novel eye-tracking measure of neglect subtype and a functional outcome measure. </w:t>
      </w:r>
      <w:r w:rsidRPr="00ED57DC">
        <w:rPr>
          <w:rFonts w:ascii="Calibri" w:hAnsi="Calibri"/>
          <w:sz w:val="18"/>
          <w:szCs w:val="18"/>
        </w:rPr>
        <w:t xml:space="preserve">Findings: </w:t>
      </w:r>
      <w:r w:rsidRPr="00ED57DC">
        <w:rPr>
          <w:rFonts w:ascii="Calibri" w:hAnsi="Calibri" w:cs="Times New Roman"/>
          <w:sz w:val="18"/>
          <w:szCs w:val="18"/>
        </w:rPr>
        <w:t>The eye-tracking measure was more sensitive in identifying neglect subtype in patients than the traditional pencil-and-paper test. The eye-tracking measure also demonstrated adequate specificity, with control participants scoring as normal (Figure 1). Classification of neglect subtype based on eye-tracking performance was a significant predictor of functional outcome above and beyond neuropsychological test performance and traditional tests of neglect. Analysis of early (automatic) vs. late (controlled) eye movement data suggest that early mechanisms of attention remain intact among neglect patients, and that deficits lie in later controlled stages of attention.</w:t>
      </w:r>
      <w:r w:rsidRPr="00ED57DC">
        <w:rPr>
          <w:rFonts w:ascii="Calibri" w:hAnsi="Calibri" w:cs="Times New Roman"/>
          <w:i/>
          <w:sz w:val="18"/>
          <w:szCs w:val="18"/>
        </w:rPr>
        <w:t xml:space="preserve"> </w:t>
      </w:r>
      <w:r w:rsidRPr="00ED57DC">
        <w:rPr>
          <w:rFonts w:ascii="Calibri" w:hAnsi="Calibri"/>
          <w:sz w:val="18"/>
          <w:szCs w:val="18"/>
        </w:rPr>
        <w:t xml:space="preserve">Conclusion &amp; Significance: The current results have significant implications for methods of assessing </w:t>
      </w:r>
      <w:proofErr w:type="spellStart"/>
      <w:r w:rsidRPr="00ED57DC">
        <w:rPr>
          <w:rFonts w:ascii="Calibri" w:hAnsi="Calibri"/>
          <w:sz w:val="18"/>
          <w:szCs w:val="18"/>
        </w:rPr>
        <w:t>hemispatial</w:t>
      </w:r>
      <w:proofErr w:type="spellEnd"/>
      <w:r w:rsidRPr="00ED57DC">
        <w:rPr>
          <w:rFonts w:ascii="Calibri" w:hAnsi="Calibri"/>
          <w:sz w:val="18"/>
          <w:szCs w:val="18"/>
        </w:rPr>
        <w:t xml:space="preserve"> neglect </w:t>
      </w:r>
      <w:r w:rsidR="00F61D28">
        <w:rPr>
          <w:rFonts w:ascii="Calibri" w:hAnsi="Calibri"/>
          <w:sz w:val="18"/>
          <w:szCs w:val="18"/>
        </w:rPr>
        <w:t xml:space="preserve">to </w:t>
      </w:r>
      <w:r w:rsidRPr="00ED57DC">
        <w:rPr>
          <w:rFonts w:ascii="Calibri" w:hAnsi="Calibri" w:cs="Times New Roman"/>
          <w:sz w:val="18"/>
          <w:szCs w:val="18"/>
        </w:rPr>
        <w:t>better predict long-term prognosis. Results indicating deficits in controlled mechanisms of attention will be fundamental in directing rehabilitative treatment for individuals suffering from both ego</w:t>
      </w:r>
      <w:r w:rsidR="001B11C7">
        <w:rPr>
          <w:rFonts w:ascii="Calibri" w:hAnsi="Calibri" w:cs="Times New Roman"/>
          <w:sz w:val="18"/>
          <w:szCs w:val="18"/>
        </w:rPr>
        <w:t>-</w:t>
      </w:r>
      <w:r w:rsidRPr="00ED57DC">
        <w:rPr>
          <w:rFonts w:ascii="Calibri" w:hAnsi="Calibri" w:cs="Times New Roman"/>
          <w:sz w:val="18"/>
          <w:szCs w:val="18"/>
        </w:rPr>
        <w:t xml:space="preserve"> and </w:t>
      </w:r>
      <w:proofErr w:type="spellStart"/>
      <w:r w:rsidRPr="00ED57DC">
        <w:rPr>
          <w:rFonts w:ascii="Calibri" w:hAnsi="Calibri" w:cs="Times New Roman"/>
          <w:sz w:val="18"/>
          <w:szCs w:val="18"/>
        </w:rPr>
        <w:t>allocentric</w:t>
      </w:r>
      <w:proofErr w:type="spellEnd"/>
      <w:r w:rsidRPr="00ED57DC">
        <w:rPr>
          <w:rFonts w:ascii="Calibri" w:hAnsi="Calibri" w:cs="Times New Roman"/>
          <w:sz w:val="18"/>
          <w:szCs w:val="18"/>
        </w:rPr>
        <w:t xml:space="preserve"> neglect.</w:t>
      </w:r>
    </w:p>
    <w:p w14:paraId="26A2178B" w14:textId="77777777" w:rsidR="00AE3E37" w:rsidRDefault="00A9710C">
      <w:pPr>
        <w:pStyle w:val="Heading3"/>
        <w:spacing w:before="74"/>
      </w:pPr>
      <w:r>
        <w:rPr>
          <w:b w:val="0"/>
        </w:rPr>
        <w:br w:type="column"/>
      </w:r>
      <w:r>
        <w:rPr>
          <w:color w:val="BF5A14"/>
        </w:rPr>
        <w:lastRenderedPageBreak/>
        <w:t>Image</w:t>
      </w:r>
    </w:p>
    <w:p w14:paraId="336DF2B6" w14:textId="77777777" w:rsidR="00AE3E37" w:rsidRDefault="00A97020" w:rsidP="00A97020">
      <w:pPr>
        <w:pStyle w:val="BodyText"/>
        <w:spacing w:before="2"/>
        <w:ind w:firstLine="142"/>
        <w:rPr>
          <w:rFonts w:ascii="Arial"/>
          <w:b/>
          <w:sz w:val="16"/>
        </w:rPr>
      </w:pPr>
      <w:r w:rsidRPr="00A97020">
        <w:rPr>
          <w:noProof/>
        </w:rPr>
        <w:drawing>
          <wp:inline distT="0" distB="0" distL="0" distR="0" wp14:anchorId="0B5F3C79" wp14:editId="5F9FAC4C">
            <wp:extent cx="2999962" cy="2228445"/>
            <wp:effectExtent l="0" t="0" r="0" b="6985"/>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a:stretch>
                      <a:fillRect/>
                    </a:stretch>
                  </pic:blipFill>
                  <pic:spPr>
                    <a:xfrm>
                      <a:off x="0" y="0"/>
                      <a:ext cx="3001959" cy="2229929"/>
                    </a:xfrm>
                    <a:prstGeom prst="rect">
                      <a:avLst/>
                    </a:prstGeom>
                  </pic:spPr>
                </pic:pic>
              </a:graphicData>
            </a:graphic>
          </wp:inline>
        </w:drawing>
      </w:r>
    </w:p>
    <w:p w14:paraId="1C04EC79" w14:textId="23BD91D3" w:rsidR="00A97020" w:rsidRDefault="00A97020" w:rsidP="001B11C7">
      <w:pPr>
        <w:spacing w:line="204" w:lineRule="exact"/>
        <w:ind w:left="142"/>
        <w:rPr>
          <w:rFonts w:ascii="Calibri" w:hAnsi="Calibri"/>
          <w:color w:val="000000" w:themeColor="text1"/>
          <w:sz w:val="18"/>
          <w:szCs w:val="18"/>
        </w:rPr>
      </w:pPr>
      <w:r w:rsidRPr="00A97020">
        <w:rPr>
          <w:rFonts w:ascii="Calibri" w:hAnsi="Calibri"/>
          <w:color w:val="000000" w:themeColor="text1"/>
          <w:sz w:val="18"/>
          <w:szCs w:val="18"/>
        </w:rPr>
        <w:t>Figure 1:</w:t>
      </w:r>
      <w:r w:rsidR="001B11C7">
        <w:rPr>
          <w:rFonts w:ascii="Calibri" w:hAnsi="Calibri"/>
          <w:color w:val="000000" w:themeColor="text1"/>
          <w:sz w:val="18"/>
          <w:szCs w:val="18"/>
        </w:rPr>
        <w:t xml:space="preserve"> Eye movement dwell times for stroke patients diagnosed with </w:t>
      </w:r>
      <w:proofErr w:type="spellStart"/>
      <w:r w:rsidR="001B11C7">
        <w:rPr>
          <w:rFonts w:ascii="Calibri" w:hAnsi="Calibri"/>
          <w:color w:val="000000" w:themeColor="text1"/>
          <w:sz w:val="18"/>
          <w:szCs w:val="18"/>
        </w:rPr>
        <w:t>allocentric</w:t>
      </w:r>
      <w:proofErr w:type="spellEnd"/>
      <w:r w:rsidR="001B11C7">
        <w:rPr>
          <w:rFonts w:ascii="Calibri" w:hAnsi="Calibri"/>
          <w:color w:val="000000" w:themeColor="text1"/>
          <w:sz w:val="18"/>
          <w:szCs w:val="18"/>
        </w:rPr>
        <w:t xml:space="preserve"> neglect, egocentric neglect, simultaneous </w:t>
      </w:r>
      <w:proofErr w:type="spellStart"/>
      <w:r w:rsidR="001B11C7">
        <w:rPr>
          <w:rFonts w:ascii="Calibri" w:hAnsi="Calibri"/>
          <w:color w:val="000000" w:themeColor="text1"/>
          <w:sz w:val="18"/>
          <w:szCs w:val="18"/>
        </w:rPr>
        <w:t>allo</w:t>
      </w:r>
      <w:proofErr w:type="spellEnd"/>
      <w:r w:rsidR="001B11C7">
        <w:rPr>
          <w:rFonts w:ascii="Calibri" w:hAnsi="Calibri"/>
          <w:color w:val="000000" w:themeColor="text1"/>
          <w:sz w:val="18"/>
          <w:szCs w:val="18"/>
        </w:rPr>
        <w:t>- and egocentric neglect</w:t>
      </w:r>
      <w:r w:rsidR="00D25517">
        <w:rPr>
          <w:rFonts w:ascii="Calibri" w:hAnsi="Calibri"/>
          <w:color w:val="000000" w:themeColor="text1"/>
          <w:sz w:val="18"/>
          <w:szCs w:val="18"/>
        </w:rPr>
        <w:t>,</w:t>
      </w:r>
      <w:r w:rsidR="001B11C7">
        <w:rPr>
          <w:rFonts w:ascii="Calibri" w:hAnsi="Calibri"/>
          <w:color w:val="000000" w:themeColor="text1"/>
          <w:sz w:val="18"/>
          <w:szCs w:val="18"/>
        </w:rPr>
        <w:t xml:space="preserve"> as well as matched control participants.</w:t>
      </w:r>
    </w:p>
    <w:p w14:paraId="03F0B092" w14:textId="77777777" w:rsidR="005973B9" w:rsidRDefault="005973B9" w:rsidP="00A97020">
      <w:pPr>
        <w:spacing w:line="204" w:lineRule="exact"/>
        <w:ind w:firstLine="142"/>
        <w:rPr>
          <w:rFonts w:ascii="Arial"/>
          <w:b/>
          <w:sz w:val="20"/>
        </w:rPr>
      </w:pPr>
      <w:r>
        <w:rPr>
          <w:rFonts w:ascii="Arial"/>
          <w:b/>
          <w:color w:val="BF5A14"/>
          <w:sz w:val="20"/>
        </w:rPr>
        <w:br/>
        <w:t>Recent Publications (minimum 5)</w:t>
      </w:r>
    </w:p>
    <w:p w14:paraId="43B27B43" w14:textId="0F084440" w:rsidR="00A97020" w:rsidRPr="00071CC7" w:rsidRDefault="00F61D28" w:rsidP="007958B7">
      <w:pPr>
        <w:pStyle w:val="ListParagraph"/>
        <w:numPr>
          <w:ilvl w:val="0"/>
          <w:numId w:val="3"/>
        </w:numPr>
        <w:spacing w:line="240" w:lineRule="auto"/>
        <w:ind w:left="284" w:right="-173" w:hanging="185"/>
        <w:rPr>
          <w:rFonts w:cs="Times New Roman"/>
          <w:sz w:val="18"/>
          <w:szCs w:val="18"/>
        </w:rPr>
      </w:pPr>
      <w:proofErr w:type="spellStart"/>
      <w:r w:rsidRPr="00071CC7">
        <w:rPr>
          <w:rFonts w:eastAsia="Times New Roman" w:cs="Times New Roman"/>
          <w:color w:val="222222"/>
          <w:sz w:val="18"/>
          <w:szCs w:val="18"/>
          <w:shd w:val="clear" w:color="auto" w:fill="FFFFFF"/>
        </w:rPr>
        <w:t>Bickerton</w:t>
      </w:r>
      <w:proofErr w:type="spellEnd"/>
      <w:r w:rsidRPr="00071CC7">
        <w:rPr>
          <w:rFonts w:eastAsia="Times New Roman" w:cs="Times New Roman"/>
          <w:color w:val="222222"/>
          <w:sz w:val="18"/>
          <w:szCs w:val="18"/>
          <w:shd w:val="clear" w:color="auto" w:fill="FFFFFF"/>
        </w:rPr>
        <w:t>, W. L., Samson, D., Williamson, J., &amp; Humphreys, G. W. (2011). Separating forms of neglect using the Apples Test: validation and functional prediction in chronic and acute stroke. </w:t>
      </w:r>
      <w:r w:rsidRPr="00071CC7">
        <w:rPr>
          <w:rFonts w:eastAsia="Times New Roman" w:cs="Times New Roman"/>
          <w:i/>
          <w:iCs/>
          <w:color w:val="222222"/>
          <w:sz w:val="18"/>
          <w:szCs w:val="18"/>
          <w:shd w:val="clear" w:color="auto" w:fill="FFFFFF"/>
        </w:rPr>
        <w:t>Neuropsychology</w:t>
      </w:r>
      <w:r w:rsidRPr="00071CC7">
        <w:rPr>
          <w:rFonts w:eastAsia="Times New Roman" w:cs="Times New Roman"/>
          <w:color w:val="222222"/>
          <w:sz w:val="18"/>
          <w:szCs w:val="18"/>
          <w:shd w:val="clear" w:color="auto" w:fill="FFFFFF"/>
        </w:rPr>
        <w:t>, </w:t>
      </w:r>
      <w:r w:rsidRPr="00071CC7">
        <w:rPr>
          <w:rFonts w:eastAsia="Times New Roman" w:cs="Times New Roman"/>
          <w:i/>
          <w:iCs/>
          <w:color w:val="222222"/>
          <w:sz w:val="18"/>
          <w:szCs w:val="18"/>
          <w:shd w:val="clear" w:color="auto" w:fill="FFFFFF"/>
        </w:rPr>
        <w:t>25</w:t>
      </w:r>
      <w:r w:rsidRPr="00071CC7">
        <w:rPr>
          <w:rFonts w:eastAsia="Times New Roman" w:cs="Times New Roman"/>
          <w:color w:val="222222"/>
          <w:sz w:val="18"/>
          <w:szCs w:val="18"/>
          <w:shd w:val="clear" w:color="auto" w:fill="FFFFFF"/>
        </w:rPr>
        <w:t>(5), 567</w:t>
      </w:r>
    </w:p>
    <w:p w14:paraId="5DBE0D69" w14:textId="77777777" w:rsidR="00F61D28" w:rsidRPr="00071CC7" w:rsidRDefault="00F61D28" w:rsidP="00F61D28">
      <w:pPr>
        <w:pStyle w:val="ListParagraph"/>
        <w:numPr>
          <w:ilvl w:val="0"/>
          <w:numId w:val="3"/>
        </w:numPr>
        <w:spacing w:line="240" w:lineRule="auto"/>
        <w:ind w:left="284" w:right="-173" w:hanging="185"/>
        <w:rPr>
          <w:rFonts w:eastAsia="Times New Roman" w:cs="Times New Roman"/>
          <w:sz w:val="18"/>
          <w:szCs w:val="18"/>
        </w:rPr>
      </w:pPr>
      <w:r w:rsidRPr="00071CC7">
        <w:rPr>
          <w:rFonts w:eastAsia="Times New Roman" w:cs="Times New Roman"/>
          <w:color w:val="222222"/>
          <w:sz w:val="18"/>
          <w:szCs w:val="18"/>
          <w:shd w:val="clear" w:color="auto" w:fill="FFFFFF"/>
        </w:rPr>
        <w:t xml:space="preserve">Marsh, E. B., &amp; </w:t>
      </w:r>
      <w:proofErr w:type="spellStart"/>
      <w:r w:rsidRPr="00071CC7">
        <w:rPr>
          <w:rFonts w:eastAsia="Times New Roman" w:cs="Times New Roman"/>
          <w:color w:val="222222"/>
          <w:sz w:val="18"/>
          <w:szCs w:val="18"/>
          <w:shd w:val="clear" w:color="auto" w:fill="FFFFFF"/>
        </w:rPr>
        <w:t>Hillis</w:t>
      </w:r>
      <w:proofErr w:type="spellEnd"/>
      <w:r w:rsidRPr="00071CC7">
        <w:rPr>
          <w:rFonts w:eastAsia="Times New Roman" w:cs="Times New Roman"/>
          <w:color w:val="222222"/>
          <w:sz w:val="18"/>
          <w:szCs w:val="18"/>
          <w:shd w:val="clear" w:color="auto" w:fill="FFFFFF"/>
        </w:rPr>
        <w:t xml:space="preserve">, A. E. (2008). Dissociation between egocentric and </w:t>
      </w:r>
      <w:proofErr w:type="spellStart"/>
      <w:r w:rsidRPr="00071CC7">
        <w:rPr>
          <w:rFonts w:eastAsia="Times New Roman" w:cs="Times New Roman"/>
          <w:color w:val="222222"/>
          <w:sz w:val="18"/>
          <w:szCs w:val="18"/>
          <w:shd w:val="clear" w:color="auto" w:fill="FFFFFF"/>
        </w:rPr>
        <w:t>allocentric</w:t>
      </w:r>
      <w:proofErr w:type="spellEnd"/>
      <w:r w:rsidRPr="00071CC7">
        <w:rPr>
          <w:rFonts w:eastAsia="Times New Roman" w:cs="Times New Roman"/>
          <w:color w:val="222222"/>
          <w:sz w:val="18"/>
          <w:szCs w:val="18"/>
          <w:shd w:val="clear" w:color="auto" w:fill="FFFFFF"/>
        </w:rPr>
        <w:t xml:space="preserve"> </w:t>
      </w:r>
      <w:proofErr w:type="spellStart"/>
      <w:r w:rsidRPr="00071CC7">
        <w:rPr>
          <w:rFonts w:eastAsia="Times New Roman" w:cs="Times New Roman"/>
          <w:color w:val="222222"/>
          <w:sz w:val="18"/>
          <w:szCs w:val="18"/>
          <w:shd w:val="clear" w:color="auto" w:fill="FFFFFF"/>
        </w:rPr>
        <w:t>visuospatial</w:t>
      </w:r>
      <w:proofErr w:type="spellEnd"/>
      <w:r w:rsidRPr="00071CC7">
        <w:rPr>
          <w:rFonts w:eastAsia="Times New Roman" w:cs="Times New Roman"/>
          <w:color w:val="222222"/>
          <w:sz w:val="18"/>
          <w:szCs w:val="18"/>
          <w:shd w:val="clear" w:color="auto" w:fill="FFFFFF"/>
        </w:rPr>
        <w:t xml:space="preserve"> and tactile neglect in acute stroke. </w:t>
      </w:r>
      <w:r w:rsidRPr="00071CC7">
        <w:rPr>
          <w:rFonts w:eastAsia="Times New Roman" w:cs="Times New Roman"/>
          <w:i/>
          <w:iCs/>
          <w:color w:val="222222"/>
          <w:sz w:val="18"/>
          <w:szCs w:val="18"/>
          <w:shd w:val="clear" w:color="auto" w:fill="FFFFFF"/>
        </w:rPr>
        <w:t>Cortex</w:t>
      </w:r>
      <w:r w:rsidRPr="00071CC7">
        <w:rPr>
          <w:rFonts w:eastAsia="Times New Roman" w:cs="Times New Roman"/>
          <w:color w:val="222222"/>
          <w:sz w:val="18"/>
          <w:szCs w:val="18"/>
          <w:shd w:val="clear" w:color="auto" w:fill="FFFFFF"/>
        </w:rPr>
        <w:t>, </w:t>
      </w:r>
      <w:r w:rsidRPr="00071CC7">
        <w:rPr>
          <w:rFonts w:eastAsia="Times New Roman" w:cs="Times New Roman"/>
          <w:i/>
          <w:iCs/>
          <w:color w:val="222222"/>
          <w:sz w:val="18"/>
          <w:szCs w:val="18"/>
          <w:shd w:val="clear" w:color="auto" w:fill="FFFFFF"/>
        </w:rPr>
        <w:t>44</w:t>
      </w:r>
      <w:r w:rsidRPr="00071CC7">
        <w:rPr>
          <w:rFonts w:eastAsia="Times New Roman" w:cs="Times New Roman"/>
          <w:color w:val="222222"/>
          <w:sz w:val="18"/>
          <w:szCs w:val="18"/>
          <w:shd w:val="clear" w:color="auto" w:fill="FFFFFF"/>
        </w:rPr>
        <w:t>(9), 1215-1220.</w:t>
      </w:r>
    </w:p>
    <w:p w14:paraId="538EBCA9" w14:textId="402F0E8F" w:rsidR="00F61D28" w:rsidRPr="00F61D28" w:rsidRDefault="00F61D28" w:rsidP="007958B7">
      <w:pPr>
        <w:pStyle w:val="ListParagraph"/>
        <w:numPr>
          <w:ilvl w:val="0"/>
          <w:numId w:val="3"/>
        </w:numPr>
        <w:spacing w:line="240" w:lineRule="auto"/>
        <w:ind w:left="284" w:right="-173" w:hanging="185"/>
        <w:rPr>
          <w:rFonts w:eastAsia="Times New Roman" w:cs="Times New Roman"/>
          <w:sz w:val="18"/>
          <w:szCs w:val="18"/>
        </w:rPr>
      </w:pPr>
      <w:r w:rsidRPr="00F61D28">
        <w:rPr>
          <w:rFonts w:eastAsia="Times New Roman" w:cs="Times New Roman"/>
          <w:color w:val="222222"/>
          <w:sz w:val="18"/>
          <w:szCs w:val="18"/>
          <w:shd w:val="clear" w:color="auto" w:fill="FFFFFF"/>
        </w:rPr>
        <w:t>Ota,</w:t>
      </w:r>
      <w:bookmarkStart w:id="0" w:name="_GoBack"/>
      <w:bookmarkEnd w:id="0"/>
      <w:r w:rsidRPr="00F61D28">
        <w:rPr>
          <w:rFonts w:eastAsia="Times New Roman" w:cs="Times New Roman"/>
          <w:color w:val="222222"/>
          <w:sz w:val="18"/>
          <w:szCs w:val="18"/>
          <w:shd w:val="clear" w:color="auto" w:fill="FFFFFF"/>
        </w:rPr>
        <w:t xml:space="preserve"> H., </w:t>
      </w:r>
      <w:proofErr w:type="spellStart"/>
      <w:r w:rsidRPr="00F61D28">
        <w:rPr>
          <w:rFonts w:eastAsia="Times New Roman" w:cs="Times New Roman"/>
          <w:color w:val="222222"/>
          <w:sz w:val="18"/>
          <w:szCs w:val="18"/>
          <w:shd w:val="clear" w:color="auto" w:fill="FFFFFF"/>
        </w:rPr>
        <w:t>Fujii</w:t>
      </w:r>
      <w:proofErr w:type="spellEnd"/>
      <w:r w:rsidRPr="00F61D28">
        <w:rPr>
          <w:rFonts w:eastAsia="Times New Roman" w:cs="Times New Roman"/>
          <w:color w:val="222222"/>
          <w:sz w:val="18"/>
          <w:szCs w:val="18"/>
          <w:shd w:val="clear" w:color="auto" w:fill="FFFFFF"/>
        </w:rPr>
        <w:t xml:space="preserve">, T., Suzuki, K., </w:t>
      </w:r>
      <w:proofErr w:type="spellStart"/>
      <w:r w:rsidRPr="00F61D28">
        <w:rPr>
          <w:rFonts w:eastAsia="Times New Roman" w:cs="Times New Roman"/>
          <w:color w:val="222222"/>
          <w:sz w:val="18"/>
          <w:szCs w:val="18"/>
          <w:shd w:val="clear" w:color="auto" w:fill="FFFFFF"/>
        </w:rPr>
        <w:t>Fukatsu</w:t>
      </w:r>
      <w:proofErr w:type="spellEnd"/>
      <w:r w:rsidRPr="00F61D28">
        <w:rPr>
          <w:rFonts w:eastAsia="Times New Roman" w:cs="Times New Roman"/>
          <w:color w:val="222222"/>
          <w:sz w:val="18"/>
          <w:szCs w:val="18"/>
          <w:shd w:val="clear" w:color="auto" w:fill="FFFFFF"/>
        </w:rPr>
        <w:t xml:space="preserve">, R., &amp; </w:t>
      </w:r>
      <w:proofErr w:type="spellStart"/>
      <w:r w:rsidRPr="00F61D28">
        <w:rPr>
          <w:rFonts w:eastAsia="Times New Roman" w:cs="Times New Roman"/>
          <w:color w:val="222222"/>
          <w:sz w:val="18"/>
          <w:szCs w:val="18"/>
          <w:shd w:val="clear" w:color="auto" w:fill="FFFFFF"/>
        </w:rPr>
        <w:t>Yamadori</w:t>
      </w:r>
      <w:proofErr w:type="spellEnd"/>
      <w:r w:rsidRPr="00F61D28">
        <w:rPr>
          <w:rFonts w:eastAsia="Times New Roman" w:cs="Times New Roman"/>
          <w:color w:val="222222"/>
          <w:sz w:val="18"/>
          <w:szCs w:val="18"/>
          <w:shd w:val="clear" w:color="auto" w:fill="FFFFFF"/>
        </w:rPr>
        <w:t xml:space="preserve">, A. (2001). Dissociation of body-centered and stimulus-centered representations in unilateral neglect. </w:t>
      </w:r>
      <w:r w:rsidRPr="00F61D28">
        <w:rPr>
          <w:rFonts w:eastAsia="Times New Roman" w:cs="Times New Roman"/>
          <w:i/>
          <w:iCs/>
          <w:color w:val="222222"/>
          <w:sz w:val="18"/>
          <w:szCs w:val="18"/>
          <w:shd w:val="clear" w:color="auto" w:fill="FFFFFF"/>
        </w:rPr>
        <w:t>Neurology</w:t>
      </w:r>
      <w:r w:rsidRPr="00F61D28">
        <w:rPr>
          <w:rFonts w:eastAsia="Times New Roman" w:cs="Times New Roman"/>
          <w:color w:val="222222"/>
          <w:sz w:val="18"/>
          <w:szCs w:val="18"/>
          <w:shd w:val="clear" w:color="auto" w:fill="FFFFFF"/>
        </w:rPr>
        <w:t>, </w:t>
      </w:r>
      <w:r w:rsidRPr="00F61D28">
        <w:rPr>
          <w:rFonts w:eastAsia="Times New Roman" w:cs="Times New Roman"/>
          <w:i/>
          <w:iCs/>
          <w:color w:val="222222"/>
          <w:sz w:val="18"/>
          <w:szCs w:val="18"/>
          <w:shd w:val="clear" w:color="auto" w:fill="FFFFFF"/>
        </w:rPr>
        <w:t>57</w:t>
      </w:r>
      <w:r w:rsidRPr="00F61D28">
        <w:rPr>
          <w:rFonts w:eastAsia="Times New Roman" w:cs="Times New Roman"/>
          <w:color w:val="222222"/>
          <w:sz w:val="18"/>
          <w:szCs w:val="18"/>
          <w:shd w:val="clear" w:color="auto" w:fill="FFFFFF"/>
        </w:rPr>
        <w:t xml:space="preserve">(11), 2064-2069. </w:t>
      </w:r>
    </w:p>
    <w:p w14:paraId="312F8D99" w14:textId="0EE9ED4C" w:rsidR="00071CC7" w:rsidRPr="00F61D28" w:rsidRDefault="00F61D28" w:rsidP="00F61D28">
      <w:pPr>
        <w:pStyle w:val="ListParagraph"/>
        <w:numPr>
          <w:ilvl w:val="0"/>
          <w:numId w:val="3"/>
        </w:numPr>
        <w:spacing w:line="240" w:lineRule="auto"/>
        <w:ind w:left="284" w:right="-173" w:hanging="185"/>
        <w:rPr>
          <w:rFonts w:eastAsia="Times New Roman" w:cs="Times New Roman"/>
          <w:sz w:val="18"/>
          <w:szCs w:val="18"/>
        </w:rPr>
      </w:pPr>
      <w:r w:rsidRPr="00071CC7">
        <w:rPr>
          <w:rFonts w:cs="Times New Roman"/>
          <w:sz w:val="18"/>
          <w:szCs w:val="18"/>
        </w:rPr>
        <w:t xml:space="preserve">Parton, A., </w:t>
      </w:r>
      <w:proofErr w:type="spellStart"/>
      <w:r w:rsidRPr="00071CC7">
        <w:rPr>
          <w:rFonts w:cs="Times New Roman"/>
          <w:sz w:val="18"/>
          <w:szCs w:val="18"/>
        </w:rPr>
        <w:t>Malhotra</w:t>
      </w:r>
      <w:proofErr w:type="spellEnd"/>
      <w:r w:rsidRPr="00071CC7">
        <w:rPr>
          <w:rFonts w:cs="Times New Roman"/>
          <w:sz w:val="18"/>
          <w:szCs w:val="18"/>
        </w:rPr>
        <w:t xml:space="preserve">, P., &amp; Husain, M. (2004). </w:t>
      </w:r>
      <w:proofErr w:type="spellStart"/>
      <w:r w:rsidRPr="00071CC7">
        <w:rPr>
          <w:rFonts w:cs="Times New Roman"/>
          <w:sz w:val="18"/>
          <w:szCs w:val="18"/>
        </w:rPr>
        <w:t>Hemispatial</w:t>
      </w:r>
      <w:proofErr w:type="spellEnd"/>
      <w:r w:rsidRPr="00071CC7">
        <w:rPr>
          <w:rFonts w:cs="Times New Roman"/>
          <w:sz w:val="18"/>
          <w:szCs w:val="18"/>
        </w:rPr>
        <w:t xml:space="preserve"> neglect. </w:t>
      </w:r>
      <w:r w:rsidRPr="00071CC7">
        <w:rPr>
          <w:rFonts w:cs="Times New Roman"/>
          <w:i/>
          <w:iCs/>
          <w:sz w:val="18"/>
          <w:szCs w:val="18"/>
        </w:rPr>
        <w:t>Journal of Neurology, Neurosurgery &amp; Psychiatry</w:t>
      </w:r>
      <w:r w:rsidRPr="00071CC7">
        <w:rPr>
          <w:rFonts w:cs="Times New Roman"/>
          <w:sz w:val="18"/>
          <w:szCs w:val="18"/>
        </w:rPr>
        <w:t>, </w:t>
      </w:r>
      <w:r w:rsidRPr="00071CC7">
        <w:rPr>
          <w:rFonts w:cs="Times New Roman"/>
          <w:i/>
          <w:iCs/>
          <w:sz w:val="18"/>
          <w:szCs w:val="18"/>
        </w:rPr>
        <w:t>75</w:t>
      </w:r>
      <w:r w:rsidRPr="00071CC7">
        <w:rPr>
          <w:rFonts w:cs="Times New Roman"/>
          <w:sz w:val="18"/>
          <w:szCs w:val="18"/>
        </w:rPr>
        <w:t>(1), 13-21.</w:t>
      </w:r>
    </w:p>
    <w:p w14:paraId="6F6EE956" w14:textId="77777777" w:rsidR="005973B9" w:rsidRDefault="005973B9" w:rsidP="007958B7">
      <w:pPr>
        <w:pStyle w:val="BodyText"/>
        <w:spacing w:before="85"/>
        <w:ind w:left="284" w:right="-173" w:hanging="185"/>
        <w:jc w:val="both"/>
        <w:rPr>
          <w:rFonts w:ascii="Calibri" w:hAnsi="Calibri"/>
        </w:rPr>
      </w:pPr>
      <w:r w:rsidRPr="00071CC7">
        <w:rPr>
          <w:rFonts w:ascii="Calibri" w:hAnsi="Calibri"/>
        </w:rPr>
        <w:t xml:space="preserve">5. </w:t>
      </w:r>
      <w:r w:rsidR="00071CC7" w:rsidRPr="00071CC7">
        <w:rPr>
          <w:rFonts w:ascii="Calibri" w:hAnsi="Calibri"/>
        </w:rPr>
        <w:t xml:space="preserve">Wong, C., </w:t>
      </w:r>
      <w:proofErr w:type="spellStart"/>
      <w:r w:rsidR="00071CC7" w:rsidRPr="00071CC7">
        <w:rPr>
          <w:rFonts w:ascii="Calibri" w:hAnsi="Calibri"/>
        </w:rPr>
        <w:t>Branco</w:t>
      </w:r>
      <w:proofErr w:type="spellEnd"/>
      <w:r w:rsidR="00071CC7" w:rsidRPr="00071CC7">
        <w:rPr>
          <w:rFonts w:ascii="Calibri" w:hAnsi="Calibri"/>
        </w:rPr>
        <w:t xml:space="preserve">, L., </w:t>
      </w:r>
      <w:proofErr w:type="spellStart"/>
      <w:r w:rsidR="00071CC7" w:rsidRPr="00071CC7">
        <w:rPr>
          <w:rFonts w:ascii="Calibri" w:hAnsi="Calibri"/>
        </w:rPr>
        <w:t>Cotrena</w:t>
      </w:r>
      <w:proofErr w:type="spellEnd"/>
      <w:r w:rsidR="00071CC7" w:rsidRPr="00071CC7">
        <w:rPr>
          <w:rFonts w:ascii="Calibri" w:hAnsi="Calibri"/>
        </w:rPr>
        <w:t xml:space="preserve">, C., </w:t>
      </w:r>
      <w:proofErr w:type="spellStart"/>
      <w:r w:rsidR="00071CC7" w:rsidRPr="00071CC7">
        <w:rPr>
          <w:rFonts w:ascii="Calibri" w:hAnsi="Calibri"/>
        </w:rPr>
        <w:t>Joanette</w:t>
      </w:r>
      <w:proofErr w:type="spellEnd"/>
      <w:r w:rsidR="00071CC7" w:rsidRPr="00071CC7">
        <w:rPr>
          <w:rFonts w:ascii="Calibri" w:hAnsi="Calibri"/>
        </w:rPr>
        <w:t xml:space="preserve">, Y. &amp; Fonseca, </w:t>
      </w:r>
      <w:proofErr w:type="gramStart"/>
      <w:r w:rsidR="00071CC7" w:rsidRPr="00071CC7">
        <w:rPr>
          <w:rFonts w:ascii="Calibri" w:hAnsi="Calibri"/>
        </w:rPr>
        <w:t>R.</w:t>
      </w:r>
      <w:r w:rsidR="00071CC7">
        <w:rPr>
          <w:rFonts w:ascii="Calibri" w:hAnsi="Calibri"/>
        </w:rPr>
        <w:t xml:space="preserve"> (2017) </w:t>
      </w:r>
      <w:proofErr w:type="spellStart"/>
      <w:r w:rsidR="00071CC7">
        <w:rPr>
          <w:rFonts w:ascii="Calibri" w:hAnsi="Calibri"/>
        </w:rPr>
        <w:t>Attentional</w:t>
      </w:r>
      <w:proofErr w:type="spellEnd"/>
      <w:r w:rsidR="00071CC7">
        <w:rPr>
          <w:rFonts w:ascii="Calibri" w:hAnsi="Calibri"/>
        </w:rPr>
        <w:t xml:space="preserve"> impairments following right hemisphere damage with and without </w:t>
      </w:r>
      <w:proofErr w:type="spellStart"/>
      <w:r w:rsidR="00071CC7">
        <w:rPr>
          <w:rFonts w:ascii="Calibri" w:hAnsi="Calibri"/>
        </w:rPr>
        <w:t>hemispatial</w:t>
      </w:r>
      <w:proofErr w:type="spellEnd"/>
      <w:r w:rsidR="00071CC7">
        <w:rPr>
          <w:rFonts w:ascii="Calibri" w:hAnsi="Calibri"/>
        </w:rPr>
        <w:t xml:space="preserve"> neglect</w:t>
      </w:r>
      <w:proofErr w:type="gramEnd"/>
      <w:r w:rsidR="00071CC7">
        <w:rPr>
          <w:rFonts w:ascii="Calibri" w:hAnsi="Calibri"/>
        </w:rPr>
        <w:t xml:space="preserve">: A comparative study. </w:t>
      </w:r>
      <w:r w:rsidR="00071CC7" w:rsidRPr="00071CC7">
        <w:rPr>
          <w:rFonts w:ascii="Calibri" w:hAnsi="Calibri"/>
          <w:i/>
        </w:rPr>
        <w:t>Applied Neuropsychology: Adult, 42</w:t>
      </w:r>
      <w:r w:rsidR="00071CC7">
        <w:rPr>
          <w:rFonts w:ascii="Calibri" w:hAnsi="Calibri"/>
        </w:rPr>
        <w:t>, 1-9.</w:t>
      </w:r>
    </w:p>
    <w:p w14:paraId="0CFA745E"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7F4EF1D1" w14:textId="77777777" w:rsidR="00AE3E37" w:rsidRDefault="00AE3E37">
      <w:pPr>
        <w:pStyle w:val="BodyText"/>
        <w:rPr>
          <w:rFonts w:ascii="Calibri"/>
          <w:sz w:val="20"/>
        </w:rPr>
      </w:pPr>
    </w:p>
    <w:p w14:paraId="129FDD8F"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BA1BE3F" wp14:editId="570C3A2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1A036987" w14:textId="2C459A9A" w:rsidR="00AE3E37" w:rsidRDefault="008756E6" w:rsidP="00404E5B">
      <w:pPr>
        <w:spacing w:before="92"/>
        <w:ind w:right="4234"/>
        <w:rPr>
          <w:rFonts w:ascii="Arial"/>
        </w:rPr>
      </w:pPr>
      <w:r>
        <w:rPr>
          <w:noProof/>
        </w:rPr>
        <w:t xml:space="preserve">    </w:t>
      </w:r>
      <w:r w:rsidR="003C059C">
        <w:rPr>
          <w:rFonts w:ascii="Minion Pro"/>
          <w:noProof/>
          <w:sz w:val="26"/>
        </w:rPr>
        <w:drawing>
          <wp:inline distT="0" distB="0" distL="0" distR="0" wp14:anchorId="0B20882C" wp14:editId="7A14BFD2">
            <wp:extent cx="665250" cy="738871"/>
            <wp:effectExtent l="0" t="0" r="0" b="0"/>
            <wp:docPr id="2" name="Picture 2" descr="Macintosh HD:private:var:folders:xn:hwj_b09552n_w68rnc5y15mr0000gn:T:TemporaryItems:May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private:var:folders:xn:hwj_b09552n_w68rnc5y15mr0000gn:T:TemporaryItems:Maya1-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65847" cy="739534"/>
                    </a:xfrm>
                    <a:prstGeom prst="rect">
                      <a:avLst/>
                    </a:prstGeom>
                    <a:noFill/>
                    <a:ln>
                      <a:noFill/>
                    </a:ln>
                  </pic:spPr>
                </pic:pic>
              </a:graphicData>
            </a:graphic>
          </wp:inline>
        </w:drawing>
      </w:r>
      <w:r w:rsidR="0027214A">
        <w:rPr>
          <w:noProof/>
        </w:rPr>
        <w:t xml:space="preserve">   </w:t>
      </w:r>
      <w:r w:rsidR="00A9710C">
        <w:rPr>
          <w:rFonts w:ascii="Arial"/>
          <w:color w:val="BF5A14"/>
        </w:rPr>
        <w:t>Biography</w:t>
      </w:r>
      <w:r w:rsidR="00404E5B">
        <w:rPr>
          <w:rFonts w:ascii="Arial"/>
          <w:color w:val="BF5A14"/>
        </w:rPr>
        <w:t xml:space="preserve"> (150 word limit)</w:t>
      </w:r>
    </w:p>
    <w:p w14:paraId="1A76FD5F" w14:textId="2A72A3E4" w:rsidR="0027214A" w:rsidRPr="0027214A" w:rsidRDefault="00D25517" w:rsidP="0027214A">
      <w:pPr>
        <w:rPr>
          <w:rFonts w:ascii="Arial" w:eastAsia="Times New Roman" w:hAnsi="Arial" w:cs="Arial"/>
          <w:sz w:val="14"/>
          <w:szCs w:val="14"/>
          <w:lang w:val="en-CA"/>
        </w:rPr>
      </w:pPr>
      <w:r>
        <w:rPr>
          <w:rFonts w:ascii="Arial"/>
          <w:sz w:val="14"/>
        </w:rPr>
        <w:t xml:space="preserve">Dr. Maya Libben is an Assistant Professor of Psychology </w:t>
      </w:r>
      <w:r w:rsidR="0027214A">
        <w:rPr>
          <w:rFonts w:ascii="Arial"/>
          <w:sz w:val="14"/>
        </w:rPr>
        <w:t xml:space="preserve">and director of the Psychopathology Lifespan and Neuropsychology (PLAN) Laboratory </w:t>
      </w:r>
      <w:r>
        <w:rPr>
          <w:rFonts w:ascii="Arial"/>
          <w:sz w:val="14"/>
        </w:rPr>
        <w:t xml:space="preserve">at the University of British Columbia Okanagan. Her </w:t>
      </w:r>
      <w:r w:rsidRPr="00F61D28">
        <w:rPr>
          <w:rFonts w:ascii="Arial"/>
          <w:color w:val="000000" w:themeColor="text1"/>
          <w:sz w:val="14"/>
        </w:rPr>
        <w:t xml:space="preserve">research focuses on the </w:t>
      </w:r>
      <w:r w:rsidR="0027214A" w:rsidRPr="00F61D28">
        <w:rPr>
          <w:rFonts w:ascii="Arial"/>
          <w:color w:val="000000" w:themeColor="text1"/>
          <w:sz w:val="14"/>
        </w:rPr>
        <w:t>use</w:t>
      </w:r>
      <w:r w:rsidRPr="00F61D28">
        <w:rPr>
          <w:rFonts w:ascii="Arial"/>
          <w:color w:val="000000" w:themeColor="text1"/>
          <w:sz w:val="14"/>
        </w:rPr>
        <w:t xml:space="preserve"> of cutting-edge methodological platforms </w:t>
      </w:r>
      <w:r w:rsidR="0027214A" w:rsidRPr="00F61D28">
        <w:rPr>
          <w:rFonts w:ascii="Arial"/>
          <w:color w:val="000000" w:themeColor="text1"/>
          <w:sz w:val="14"/>
        </w:rPr>
        <w:t xml:space="preserve">to advance neuropsychological treatment and rehabilitation </w:t>
      </w:r>
      <w:r w:rsidR="00F61D28" w:rsidRPr="00F61D28">
        <w:rPr>
          <w:rFonts w:ascii="Arial"/>
          <w:color w:val="000000" w:themeColor="text1"/>
          <w:sz w:val="14"/>
        </w:rPr>
        <w:t>protocols</w:t>
      </w:r>
      <w:r w:rsidR="0027214A" w:rsidRPr="00F61D28">
        <w:rPr>
          <w:rFonts w:ascii="Arial"/>
          <w:color w:val="000000" w:themeColor="text1"/>
          <w:sz w:val="14"/>
        </w:rPr>
        <w:t>.</w:t>
      </w:r>
      <w:r w:rsidRPr="00F61D28">
        <w:rPr>
          <w:rFonts w:ascii="Arial" w:hAnsi="Arial" w:cs="Arial"/>
          <w:color w:val="000000" w:themeColor="text1"/>
          <w:sz w:val="14"/>
          <w:szCs w:val="14"/>
        </w:rPr>
        <w:t xml:space="preserve"> </w:t>
      </w:r>
      <w:r w:rsidR="0027214A" w:rsidRPr="00F61D28">
        <w:rPr>
          <w:rFonts w:ascii="Arial" w:hAnsi="Arial" w:cs="Arial"/>
          <w:color w:val="000000" w:themeColor="text1"/>
          <w:sz w:val="14"/>
          <w:szCs w:val="14"/>
        </w:rPr>
        <w:t xml:space="preserve">Most recently, Dr. Libben has focused on the use of eye-tracking techniques to advance our understanding of the </w:t>
      </w:r>
      <w:proofErr w:type="spellStart"/>
      <w:r w:rsidR="0027214A" w:rsidRPr="00F61D28">
        <w:rPr>
          <w:rFonts w:ascii="Arial" w:hAnsi="Arial" w:cs="Arial"/>
          <w:color w:val="000000" w:themeColor="text1"/>
          <w:sz w:val="14"/>
          <w:szCs w:val="14"/>
        </w:rPr>
        <w:t>at</w:t>
      </w:r>
      <w:r w:rsidR="00F61D28" w:rsidRPr="00F61D28">
        <w:rPr>
          <w:rFonts w:ascii="Arial" w:hAnsi="Arial" w:cs="Arial"/>
          <w:color w:val="000000" w:themeColor="text1"/>
          <w:sz w:val="14"/>
          <w:szCs w:val="14"/>
        </w:rPr>
        <w:t>t</w:t>
      </w:r>
      <w:r w:rsidR="0027214A" w:rsidRPr="00F61D28">
        <w:rPr>
          <w:rFonts w:ascii="Arial" w:hAnsi="Arial" w:cs="Arial"/>
          <w:color w:val="000000" w:themeColor="text1"/>
          <w:sz w:val="14"/>
          <w:szCs w:val="14"/>
        </w:rPr>
        <w:t>entional</w:t>
      </w:r>
      <w:proofErr w:type="spellEnd"/>
      <w:r w:rsidR="0027214A" w:rsidRPr="00F61D28">
        <w:rPr>
          <w:rFonts w:ascii="Arial" w:hAnsi="Arial" w:cs="Arial"/>
          <w:color w:val="000000" w:themeColor="text1"/>
          <w:sz w:val="14"/>
          <w:szCs w:val="14"/>
        </w:rPr>
        <w:t xml:space="preserve"> deficit</w:t>
      </w:r>
      <w:r w:rsidR="00F61D28" w:rsidRPr="00F61D28">
        <w:rPr>
          <w:rFonts w:ascii="Arial" w:hAnsi="Arial" w:cs="Arial"/>
          <w:color w:val="000000" w:themeColor="text1"/>
          <w:sz w:val="14"/>
          <w:szCs w:val="14"/>
        </w:rPr>
        <w:t>s</w:t>
      </w:r>
      <w:r w:rsidR="0027214A" w:rsidRPr="00F61D28">
        <w:rPr>
          <w:rFonts w:ascii="Arial" w:hAnsi="Arial" w:cs="Arial"/>
          <w:color w:val="000000" w:themeColor="text1"/>
          <w:sz w:val="14"/>
          <w:szCs w:val="14"/>
        </w:rPr>
        <w:t xml:space="preserve"> underlining </w:t>
      </w:r>
      <w:proofErr w:type="spellStart"/>
      <w:r w:rsidR="0027214A" w:rsidRPr="00F61D28">
        <w:rPr>
          <w:rFonts w:ascii="Arial" w:hAnsi="Arial" w:cs="Arial"/>
          <w:color w:val="000000" w:themeColor="text1"/>
          <w:sz w:val="14"/>
          <w:szCs w:val="14"/>
        </w:rPr>
        <w:t>hemispatial</w:t>
      </w:r>
      <w:proofErr w:type="spellEnd"/>
      <w:r w:rsidR="0027214A" w:rsidRPr="00F61D28">
        <w:rPr>
          <w:rFonts w:ascii="Arial" w:hAnsi="Arial" w:cs="Arial"/>
          <w:color w:val="000000" w:themeColor="text1"/>
          <w:sz w:val="14"/>
          <w:szCs w:val="14"/>
        </w:rPr>
        <w:t xml:space="preserve"> neglect and develop new rehabilitation protocols. </w:t>
      </w:r>
      <w:r w:rsidRPr="00F61D28">
        <w:rPr>
          <w:rFonts w:ascii="Arial" w:eastAsia="Times New Roman" w:hAnsi="Arial" w:cs="Arial"/>
          <w:color w:val="000000" w:themeColor="text1"/>
          <w:sz w:val="14"/>
          <w:szCs w:val="14"/>
          <w:shd w:val="clear" w:color="auto" w:fill="FFFFFF"/>
          <w:lang w:val="en-CA"/>
        </w:rPr>
        <w:t xml:space="preserve">Dr. </w:t>
      </w:r>
      <w:proofErr w:type="spellStart"/>
      <w:r w:rsidRPr="00F61D28">
        <w:rPr>
          <w:rFonts w:ascii="Arial" w:eastAsia="Times New Roman" w:hAnsi="Arial" w:cs="Arial"/>
          <w:color w:val="000000" w:themeColor="text1"/>
          <w:sz w:val="14"/>
          <w:szCs w:val="14"/>
          <w:shd w:val="clear" w:color="auto" w:fill="FFFFFF"/>
          <w:lang w:val="en-CA"/>
        </w:rPr>
        <w:t>Libben’s</w:t>
      </w:r>
      <w:proofErr w:type="spellEnd"/>
      <w:r w:rsidRPr="00F61D28">
        <w:rPr>
          <w:rFonts w:ascii="Arial" w:eastAsia="Times New Roman" w:hAnsi="Arial" w:cs="Arial"/>
          <w:color w:val="000000" w:themeColor="text1"/>
          <w:sz w:val="14"/>
          <w:szCs w:val="14"/>
          <w:shd w:val="clear" w:color="auto" w:fill="FFFFFF"/>
          <w:lang w:val="en-CA"/>
        </w:rPr>
        <w:t xml:space="preserve"> research has been supported by grants from the </w:t>
      </w:r>
      <w:r w:rsidRPr="00F61D28">
        <w:rPr>
          <w:rFonts w:ascii="Arial" w:eastAsia="Times New Roman" w:hAnsi="Arial" w:cs="Arial"/>
          <w:sz w:val="14"/>
          <w:szCs w:val="14"/>
          <w:shd w:val="clear" w:color="auto" w:fill="FFFFFF"/>
          <w:lang w:val="en-CA"/>
        </w:rPr>
        <w:t>Natural Sciences and Engineering Research Council of Canada, the Canadian Foundation for Innovation and the Brain and Behaviour Research Foundation. </w:t>
      </w:r>
      <w:r w:rsidR="0027214A" w:rsidRPr="00F61D28">
        <w:rPr>
          <w:rFonts w:ascii="Arial" w:eastAsia="Times New Roman" w:hAnsi="Arial" w:cs="Arial"/>
          <w:sz w:val="14"/>
          <w:szCs w:val="14"/>
          <w:shd w:val="clear" w:color="auto" w:fill="FFFFFF"/>
          <w:lang w:val="en-CA"/>
        </w:rPr>
        <w:t>In addition to her research, Dr. Libben is a practicing clinical psychologist, providing psychotherapeutic and neuropsychological assessment services to members of the community. </w:t>
      </w:r>
    </w:p>
    <w:p w14:paraId="3A901DA0" w14:textId="45CD5206" w:rsidR="00D25517" w:rsidRDefault="00D25517" w:rsidP="00F61D28">
      <w:pPr>
        <w:spacing w:before="41" w:line="154" w:lineRule="exact"/>
        <w:ind w:right="231"/>
        <w:jc w:val="both"/>
        <w:rPr>
          <w:rFonts w:ascii="Arial"/>
          <w:sz w:val="14"/>
        </w:rPr>
      </w:pPr>
    </w:p>
    <w:p w14:paraId="251B9EC5" w14:textId="77777777" w:rsidR="00AE3E37" w:rsidRDefault="00A9710C">
      <w:pPr>
        <w:spacing w:before="62"/>
        <w:ind w:left="4217" w:right="4235"/>
        <w:jc w:val="center"/>
        <w:rPr>
          <w:rFonts w:ascii="Arial"/>
          <w:sz w:val="14"/>
        </w:rPr>
      </w:pPr>
      <w:r>
        <w:rPr>
          <w:rFonts w:ascii="Arial"/>
          <w:sz w:val="14"/>
        </w:rPr>
        <w:t xml:space="preserve">Email: </w:t>
      </w:r>
      <w:hyperlink r:id="rId12" w:history="1">
        <w:r w:rsidR="00A97020">
          <w:rPr>
            <w:rStyle w:val="Hyperlink"/>
            <w:rFonts w:ascii="Arial"/>
            <w:sz w:val="14"/>
          </w:rPr>
          <w:t>maya.libben@ubc.ca</w:t>
        </w:r>
      </w:hyperlink>
    </w:p>
    <w:p w14:paraId="2FA6B54C" w14:textId="77777777" w:rsidR="00AE3E37" w:rsidRDefault="00292ED9">
      <w:pPr>
        <w:pStyle w:val="BodyText"/>
        <w:spacing w:before="2"/>
        <w:rPr>
          <w:rFonts w:ascii="Arial"/>
          <w:sz w:val="19"/>
        </w:rPr>
      </w:pPr>
      <w:r>
        <w:rPr>
          <w:noProof/>
        </w:rPr>
        <w:lastRenderedPageBreak/>
        <mc:AlternateContent>
          <mc:Choice Requires="wps">
            <w:drawing>
              <wp:anchor distT="0" distB="0" distL="0" distR="0" simplePos="0" relativeHeight="1072" behindDoc="0" locked="0" layoutInCell="1" allowOverlap="1" wp14:anchorId="090FD234" wp14:editId="3EFFD28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2985F443" w14:textId="77777777" w:rsidR="00AE3E37" w:rsidRDefault="00AE3E37">
      <w:pPr>
        <w:pStyle w:val="BodyText"/>
        <w:rPr>
          <w:rFonts w:ascii="Arial"/>
          <w:sz w:val="20"/>
        </w:rPr>
      </w:pPr>
    </w:p>
    <w:p w14:paraId="12F8650A" w14:textId="77777777" w:rsidR="00AE3E37" w:rsidRDefault="00AE3E37">
      <w:pPr>
        <w:pStyle w:val="BodyText"/>
        <w:rPr>
          <w:rFonts w:ascii="Arial"/>
          <w:sz w:val="20"/>
        </w:rPr>
      </w:pPr>
    </w:p>
    <w:p w14:paraId="5E48FB09" w14:textId="77777777" w:rsidR="00AE3E37" w:rsidRDefault="00AE3E37">
      <w:pPr>
        <w:pStyle w:val="BodyText"/>
        <w:spacing w:before="7"/>
        <w:rPr>
          <w:rFonts w:ascii="Arial"/>
          <w:sz w:val="29"/>
        </w:rPr>
      </w:pPr>
    </w:p>
    <w:p w14:paraId="30D37045" w14:textId="77777777" w:rsidR="00AE3E37" w:rsidRPr="00B21A57" w:rsidRDefault="00A9710C">
      <w:pPr>
        <w:spacing w:before="39"/>
        <w:ind w:left="100"/>
        <w:rPr>
          <w:rFonts w:ascii="Minion Pro"/>
          <w:b/>
          <w:sz w:val="20"/>
        </w:rPr>
      </w:pPr>
      <w:r w:rsidRPr="00B21A57">
        <w:rPr>
          <w:rFonts w:ascii="Minion Pro"/>
          <w:b/>
          <w:sz w:val="20"/>
        </w:rPr>
        <w:t>Notes/Comments:</w:t>
      </w:r>
    </w:p>
    <w:p w14:paraId="3A86E567"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641B6E31"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CB7131" w14:textId="77777777" w:rsidR="00A105F6" w:rsidRDefault="00A105F6">
      <w:r>
        <w:separator/>
      </w:r>
    </w:p>
  </w:endnote>
  <w:endnote w:type="continuationSeparator" w:id="0">
    <w:p w14:paraId="17B5542E" w14:textId="77777777" w:rsidR="00A105F6" w:rsidRDefault="00A105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7BAA9F" w14:textId="77777777" w:rsidR="00A105F6" w:rsidRDefault="00A105F6">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5640AC9" wp14:editId="69FE7F6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4942B2" w14:textId="77777777" w:rsidR="00A105F6" w:rsidRPr="005B3A56" w:rsidRDefault="00A105F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9070EB" w14:textId="77777777" w:rsidR="00A105F6" w:rsidRPr="005B3A56" w:rsidRDefault="00A105F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2E4942B2" w14:textId="77777777" w:rsidR="00A105F6" w:rsidRPr="005B3A56" w:rsidRDefault="00A105F6">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B9070EB" w14:textId="77777777" w:rsidR="00A105F6" w:rsidRPr="005B3A56" w:rsidRDefault="00A105F6">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636BAAED" wp14:editId="34892BA0">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31A5E7" w14:textId="77777777" w:rsidR="00A105F6" w:rsidRPr="005B3A56" w:rsidRDefault="00A105F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B65C04" w14:textId="77777777" w:rsidR="00A105F6" w:rsidRPr="005B3A56" w:rsidRDefault="00A105F6">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2531A5E7" w14:textId="77777777" w:rsidR="00A105F6" w:rsidRPr="005B3A56" w:rsidRDefault="00A105F6">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CB65C04" w14:textId="77777777" w:rsidR="00A105F6" w:rsidRPr="005B3A56" w:rsidRDefault="00A105F6">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0D5B77B0" wp14:editId="090B574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FB5C9" w14:textId="77777777" w:rsidR="00A105F6" w:rsidRPr="005B3A56" w:rsidRDefault="00A105F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CD94FF" w14:textId="77777777" w:rsidR="00A105F6" w:rsidRPr="005B3A56" w:rsidRDefault="00A105F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245FB5C9" w14:textId="77777777" w:rsidR="00A105F6" w:rsidRPr="005B3A56" w:rsidRDefault="00A105F6">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06CD94FF" w14:textId="77777777" w:rsidR="00A105F6" w:rsidRPr="005B3A56" w:rsidRDefault="00A105F6">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3D7E3B" w14:textId="77777777" w:rsidR="00A105F6" w:rsidRDefault="00A105F6">
      <w:r>
        <w:separator/>
      </w:r>
    </w:p>
  </w:footnote>
  <w:footnote w:type="continuationSeparator" w:id="0">
    <w:p w14:paraId="33BA3117" w14:textId="77777777" w:rsidR="00A105F6" w:rsidRDefault="00A105F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EB2F2B" w14:textId="77777777" w:rsidR="00A105F6" w:rsidRDefault="00A105F6">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35252F16" wp14:editId="6E8C255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1F3AEC" w14:textId="77777777" w:rsidR="00A105F6" w:rsidRPr="005B3A56" w:rsidRDefault="00A105F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131F3AEC" w14:textId="77777777" w:rsidR="00A105F6" w:rsidRPr="005B3A56" w:rsidRDefault="00A105F6">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1181B6AE" wp14:editId="3849E1B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338B98" w14:textId="77777777" w:rsidR="00A105F6" w:rsidRPr="005B3A56" w:rsidRDefault="00A105F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7F3EC8" w14:textId="77777777" w:rsidR="00A105F6" w:rsidRPr="005B3A56" w:rsidRDefault="00A105F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77338B98" w14:textId="77777777" w:rsidR="00A105F6" w:rsidRPr="005B3A56" w:rsidRDefault="00A105F6">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F7F3EC8" w14:textId="77777777" w:rsidR="00A105F6" w:rsidRPr="005B3A56" w:rsidRDefault="00A105F6">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1CC7"/>
    <w:rsid w:val="000E2911"/>
    <w:rsid w:val="001263DF"/>
    <w:rsid w:val="001A4BA4"/>
    <w:rsid w:val="001B11C7"/>
    <w:rsid w:val="0027214A"/>
    <w:rsid w:val="00292ED9"/>
    <w:rsid w:val="003C059C"/>
    <w:rsid w:val="00404E5B"/>
    <w:rsid w:val="00414F7B"/>
    <w:rsid w:val="004355DC"/>
    <w:rsid w:val="004749B4"/>
    <w:rsid w:val="00494130"/>
    <w:rsid w:val="004F3523"/>
    <w:rsid w:val="004F38F5"/>
    <w:rsid w:val="005973B9"/>
    <w:rsid w:val="005B3A56"/>
    <w:rsid w:val="006060CE"/>
    <w:rsid w:val="0063497F"/>
    <w:rsid w:val="007958B7"/>
    <w:rsid w:val="00873DF0"/>
    <w:rsid w:val="008756E6"/>
    <w:rsid w:val="009B2D44"/>
    <w:rsid w:val="00A07E82"/>
    <w:rsid w:val="00A105F6"/>
    <w:rsid w:val="00A97020"/>
    <w:rsid w:val="00A9710C"/>
    <w:rsid w:val="00AE3E37"/>
    <w:rsid w:val="00B21A57"/>
    <w:rsid w:val="00C33602"/>
    <w:rsid w:val="00CD6F55"/>
    <w:rsid w:val="00D25517"/>
    <w:rsid w:val="00DE3104"/>
    <w:rsid w:val="00ED57DC"/>
    <w:rsid w:val="00EF7330"/>
    <w:rsid w:val="00F61D28"/>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072A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2551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pple-converted-space">
    <w:name w:val="apple-converted-space"/>
    <w:basedOn w:val="DefaultParagraphFont"/>
    <w:rsid w:val="00D255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353304">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40332950">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hyperlink" Target="mailto:drXXXXXXX@xxxmail.com" TargetMode="Externa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699</Words>
  <Characters>3988</Characters>
  <Application>Microsoft Macintosh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Maya Libben</cp:lastModifiedBy>
  <cp:revision>6</cp:revision>
  <dcterms:created xsi:type="dcterms:W3CDTF">2017-05-08T00:53:00Z</dcterms:created>
  <dcterms:modified xsi:type="dcterms:W3CDTF">2017-05-08T14:34:00Z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