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920B4D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428750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C51830">
                            <w:pPr>
                              <w:rPr>
                                <w:lang w:val="en-IN"/>
                              </w:rPr>
                            </w:pPr>
                            <w:r w:rsidRPr="00C51830">
                              <w:rPr>
                                <w:noProof/>
                                <w:lang w:eastAsia="zh-CN"/>
                              </w:rPr>
                              <w:drawing>
                                <wp:inline distT="0" distB="0" distL="0" distR="0" wp14:anchorId="66074F33" wp14:editId="41765422">
                                  <wp:extent cx="1075818" cy="1064494"/>
                                  <wp:effectExtent l="0" t="0" r="0" b="2540"/>
                                  <wp:docPr id="4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0173" cy="1068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12.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" strokecolor="#9bbb59" strokeweight="2.5pt">
                <v:shadow color="#868686"/>
                <v:textbox>
                  <w:txbxContent>
                    <w:p w:rsidR="00AF61EB" w:rsidRDefault="00C51830">
                      <w:pPr>
                        <w:rPr>
                          <w:lang w:val="en-IN"/>
                        </w:rPr>
                      </w:pPr>
                      <w:r w:rsidRPr="00C51830">
                        <w:drawing>
                          <wp:inline distT="0" distB="0" distL="0" distR="0" wp14:anchorId="66074F33" wp14:editId="41765422">
                            <wp:extent cx="1075818" cy="1064494"/>
                            <wp:effectExtent l="0" t="0" r="0" b="2540"/>
                            <wp:docPr id="4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0173" cy="10688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1830">
        <w:rPr>
          <w:noProof/>
          <w:lang w:eastAsia="zh-CN"/>
        </w:rPr>
        <w:drawing>
          <wp:inline distT="0" distB="0" distL="0" distR="0" wp14:anchorId="30DFE03A">
            <wp:extent cx="1123950" cy="1646189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646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C51830" w:rsidRDefault="00C51830" w:rsidP="00074C9C">
      <w:pPr>
        <w:rPr>
          <w:rFonts w:eastAsiaTheme="minorEastAsia"/>
          <w:b/>
          <w:color w:val="000000"/>
          <w:sz w:val="28"/>
          <w:szCs w:val="28"/>
          <w:lang w:eastAsia="zh-CN"/>
        </w:rPr>
      </w:pPr>
      <w:proofErr w:type="spellStart"/>
      <w:r w:rsidRPr="00C51830">
        <w:rPr>
          <w:rFonts w:eastAsia="MS PGothic"/>
          <w:b/>
          <w:color w:val="000000"/>
          <w:sz w:val="28"/>
          <w:szCs w:val="28"/>
        </w:rPr>
        <w:t>Glyco-nanosystems</w:t>
      </w:r>
      <w:proofErr w:type="spellEnd"/>
      <w:r w:rsidRPr="00C51830">
        <w:rPr>
          <w:rFonts w:eastAsia="MS PGothic"/>
          <w:b/>
          <w:color w:val="000000"/>
          <w:sz w:val="28"/>
          <w:szCs w:val="28"/>
        </w:rPr>
        <w:t xml:space="preserve"> </w:t>
      </w:r>
      <w:proofErr w:type="gramStart"/>
      <w:r w:rsidRPr="00C51830">
        <w:rPr>
          <w:rFonts w:eastAsia="MS PGothic"/>
          <w:b/>
          <w:color w:val="000000"/>
          <w:sz w:val="28"/>
          <w:szCs w:val="28"/>
        </w:rPr>
        <w:t>Based</w:t>
      </w:r>
      <w:proofErr w:type="gramEnd"/>
      <w:r w:rsidRPr="00C51830">
        <w:rPr>
          <w:rFonts w:eastAsia="MS PGothic"/>
          <w:b/>
          <w:color w:val="000000"/>
          <w:sz w:val="28"/>
          <w:szCs w:val="28"/>
        </w:rPr>
        <w:t xml:space="preserve"> on Host-Guest </w:t>
      </w:r>
      <w:proofErr w:type="spellStart"/>
      <w:r w:rsidRPr="00C51830">
        <w:rPr>
          <w:rFonts w:eastAsia="MS PGothic"/>
          <w:b/>
          <w:color w:val="000000"/>
          <w:sz w:val="28"/>
          <w:szCs w:val="28"/>
        </w:rPr>
        <w:t>Complexation</w:t>
      </w:r>
      <w:proofErr w:type="spellEnd"/>
      <w:r w:rsidRPr="00C51830">
        <w:rPr>
          <w:rFonts w:eastAsia="MS PGothic"/>
          <w:b/>
          <w:color w:val="000000"/>
          <w:sz w:val="28"/>
          <w:szCs w:val="28"/>
        </w:rPr>
        <w:t xml:space="preserve"> for Targeted Drug Delivery</w:t>
      </w:r>
    </w:p>
    <w:p w:rsidR="005B4B32" w:rsidRPr="00C51830" w:rsidRDefault="00074C9C" w:rsidP="00074C9C">
      <w:pPr>
        <w:rPr>
          <w:rFonts w:eastAsia="MS PGothic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</w:t>
      </w:r>
      <w:r w:rsidR="00C51830">
        <w:rPr>
          <w:b/>
          <w:sz w:val="28"/>
          <w:szCs w:val="28"/>
        </w:rPr>
        <w:t xml:space="preserve">          </w:t>
      </w:r>
      <w:proofErr w:type="spellStart"/>
      <w:r w:rsidR="00C51830" w:rsidRPr="00C51830">
        <w:rPr>
          <w:rFonts w:eastAsia="宋体"/>
          <w:bCs/>
          <w:szCs w:val="20"/>
          <w:u w:val="single"/>
          <w:lang w:eastAsia="zh-CN"/>
        </w:rPr>
        <w:t>Zhichao</w:t>
      </w:r>
      <w:proofErr w:type="spellEnd"/>
      <w:r w:rsidR="00C51830" w:rsidRPr="00C51830">
        <w:rPr>
          <w:rFonts w:eastAsia="PMingLiU"/>
          <w:bCs/>
          <w:szCs w:val="20"/>
          <w:u w:val="single"/>
          <w:lang w:eastAsia="en-US"/>
        </w:rPr>
        <w:t xml:space="preserve"> Pei</w:t>
      </w:r>
      <w:r w:rsidR="00C51830" w:rsidRPr="00C51830">
        <w:rPr>
          <w:rFonts w:eastAsia="宋体"/>
          <w:bCs/>
          <w:szCs w:val="20"/>
          <w:lang w:eastAsia="zh-CN"/>
        </w:rPr>
        <w:t>,</w:t>
      </w:r>
      <w:r w:rsidR="00C51830" w:rsidRPr="00C51830">
        <w:rPr>
          <w:rFonts w:eastAsia="PMingLiU"/>
          <w:bCs/>
          <w:szCs w:val="20"/>
          <w:lang w:eastAsia="en-US"/>
        </w:rPr>
        <w:t>*</w:t>
      </w:r>
      <w:r w:rsidR="00C51830" w:rsidRPr="00C51830">
        <w:rPr>
          <w:rFonts w:eastAsia="宋体"/>
          <w:bCs/>
          <w:szCs w:val="20"/>
          <w:lang w:eastAsia="zh-CN"/>
        </w:rPr>
        <w:t xml:space="preserve"> </w:t>
      </w:r>
      <w:proofErr w:type="spellStart"/>
      <w:r w:rsidR="00C51830" w:rsidRPr="00C51830">
        <w:rPr>
          <w:rFonts w:eastAsia="宋体"/>
          <w:bCs/>
          <w:szCs w:val="20"/>
          <w:lang w:eastAsia="zh-CN"/>
        </w:rPr>
        <w:t>Kui</w:t>
      </w:r>
      <w:proofErr w:type="spellEnd"/>
      <w:r w:rsidR="00C51830" w:rsidRPr="00C51830">
        <w:rPr>
          <w:rFonts w:eastAsia="宋体"/>
          <w:bCs/>
          <w:szCs w:val="20"/>
          <w:lang w:eastAsia="zh-CN"/>
        </w:rPr>
        <w:t xml:space="preserve"> Yang, </w:t>
      </w:r>
      <w:proofErr w:type="spellStart"/>
      <w:r w:rsidR="00C51830" w:rsidRPr="00C51830">
        <w:rPr>
          <w:rFonts w:eastAsia="宋体"/>
          <w:bCs/>
          <w:szCs w:val="20"/>
          <w:lang w:eastAsia="zh-CN"/>
        </w:rPr>
        <w:t>Yingcheng</w:t>
      </w:r>
      <w:proofErr w:type="spellEnd"/>
      <w:r w:rsidR="00C51830" w:rsidRPr="00C51830">
        <w:rPr>
          <w:rFonts w:eastAsia="宋体"/>
          <w:bCs/>
          <w:szCs w:val="20"/>
          <w:lang w:eastAsia="zh-CN"/>
        </w:rPr>
        <w:t xml:space="preserve"> Chang, </w:t>
      </w:r>
      <w:proofErr w:type="spellStart"/>
      <w:r w:rsidR="00C91DF2">
        <w:rPr>
          <w:rFonts w:eastAsia="宋体" w:hint="eastAsia"/>
          <w:bCs/>
          <w:szCs w:val="20"/>
          <w:lang w:eastAsia="zh-CN"/>
        </w:rPr>
        <w:t>Chenxi</w:t>
      </w:r>
      <w:proofErr w:type="spellEnd"/>
      <w:r w:rsidR="00C91DF2">
        <w:rPr>
          <w:rFonts w:eastAsia="宋体" w:hint="eastAsia"/>
          <w:bCs/>
          <w:szCs w:val="20"/>
          <w:lang w:eastAsia="zh-CN"/>
        </w:rPr>
        <w:t xml:space="preserve"> </w:t>
      </w:r>
      <w:proofErr w:type="spellStart"/>
      <w:r w:rsidR="00C91DF2">
        <w:rPr>
          <w:rFonts w:eastAsia="宋体" w:hint="eastAsia"/>
          <w:bCs/>
          <w:szCs w:val="20"/>
          <w:lang w:eastAsia="zh-CN"/>
        </w:rPr>
        <w:t>Hou</w:t>
      </w:r>
      <w:proofErr w:type="spellEnd"/>
      <w:r w:rsidR="00C51830" w:rsidRPr="00C51830">
        <w:rPr>
          <w:rFonts w:eastAsia="宋体"/>
          <w:bCs/>
          <w:szCs w:val="20"/>
          <w:lang w:eastAsia="zh-CN"/>
        </w:rPr>
        <w:t>,</w:t>
      </w:r>
      <w:r w:rsidR="00C51830" w:rsidRPr="00C51830">
        <w:rPr>
          <w:rFonts w:eastAsia="PMingLiU"/>
          <w:bCs/>
          <w:szCs w:val="20"/>
          <w:lang w:eastAsia="en-US"/>
        </w:rPr>
        <w:t xml:space="preserve"> </w:t>
      </w:r>
      <w:proofErr w:type="spellStart"/>
      <w:r w:rsidR="00C51830" w:rsidRPr="00C51830">
        <w:rPr>
          <w:rFonts w:eastAsia="宋体"/>
          <w:bCs/>
          <w:szCs w:val="20"/>
          <w:lang w:eastAsia="zh-CN"/>
        </w:rPr>
        <w:t>Yuxin</w:t>
      </w:r>
      <w:proofErr w:type="spellEnd"/>
      <w:r w:rsidR="00C51830" w:rsidRPr="00C51830">
        <w:rPr>
          <w:rFonts w:eastAsia="宋体"/>
          <w:bCs/>
          <w:szCs w:val="20"/>
          <w:lang w:eastAsia="zh-CN"/>
        </w:rPr>
        <w:t xml:space="preserve"> </w:t>
      </w:r>
      <w:r w:rsidR="00C51830" w:rsidRPr="00C51830">
        <w:rPr>
          <w:rFonts w:eastAsia="PMingLiU"/>
          <w:bCs/>
          <w:szCs w:val="20"/>
          <w:lang w:eastAsia="en-US"/>
        </w:rPr>
        <w:t>Pei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C51830" w:rsidRPr="00C51830">
        <w:rPr>
          <w:rFonts w:eastAsia="MS PGothic" w:hAnsi="Arial"/>
          <w:color w:val="000000"/>
        </w:rPr>
        <w:t>College of Chemistry and Pharmacy, Northwest A&amp;F University, China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C51830" w:rsidP="00AF61EB">
      <w:pPr>
        <w:ind w:firstLine="720"/>
        <w:jc w:val="both"/>
        <w:rPr>
          <w:color w:val="000000"/>
        </w:rPr>
      </w:pPr>
      <w:proofErr w:type="spellStart"/>
      <w:r w:rsidRPr="00C51830">
        <w:rPr>
          <w:rFonts w:eastAsia="MS PGothic"/>
          <w:color w:val="000000"/>
          <w:szCs w:val="32"/>
        </w:rPr>
        <w:t>Glyco-nanosystems</w:t>
      </w:r>
      <w:proofErr w:type="spellEnd"/>
      <w:r w:rsidRPr="00C51830">
        <w:rPr>
          <w:rFonts w:eastAsia="MS PGothic"/>
          <w:color w:val="000000"/>
          <w:szCs w:val="32"/>
        </w:rPr>
        <w:t xml:space="preserve"> including </w:t>
      </w:r>
      <w:proofErr w:type="spellStart"/>
      <w:r w:rsidRPr="00C51830">
        <w:rPr>
          <w:rFonts w:eastAsia="MS PGothic"/>
          <w:color w:val="000000"/>
          <w:szCs w:val="32"/>
        </w:rPr>
        <w:t>nano</w:t>
      </w:r>
      <w:proofErr w:type="spellEnd"/>
      <w:r w:rsidRPr="00C51830">
        <w:rPr>
          <w:rFonts w:eastAsia="MS PGothic"/>
          <w:color w:val="000000"/>
          <w:szCs w:val="32"/>
        </w:rPr>
        <w:t xml:space="preserve">-vesicles and </w:t>
      </w:r>
      <w:proofErr w:type="spellStart"/>
      <w:r w:rsidRPr="00C51830">
        <w:rPr>
          <w:rFonts w:eastAsia="MS PGothic"/>
          <w:color w:val="000000"/>
          <w:szCs w:val="32"/>
        </w:rPr>
        <w:t>nano</w:t>
      </w:r>
      <w:proofErr w:type="spellEnd"/>
      <w:r w:rsidRPr="00C51830">
        <w:rPr>
          <w:rFonts w:eastAsia="MS PGothic"/>
          <w:color w:val="000000"/>
          <w:szCs w:val="32"/>
        </w:rPr>
        <w:t xml:space="preserve">-hybrid material for targeted drug delivery were developed. Firstly, glycol-vesicles based on the host-guest </w:t>
      </w:r>
      <w:proofErr w:type="spellStart"/>
      <w:r w:rsidRPr="00C51830">
        <w:rPr>
          <w:rFonts w:eastAsia="MS PGothic"/>
          <w:color w:val="000000"/>
          <w:szCs w:val="32"/>
        </w:rPr>
        <w:t>complexation</w:t>
      </w:r>
      <w:proofErr w:type="spellEnd"/>
      <w:r w:rsidRPr="00C51830">
        <w:rPr>
          <w:rFonts w:eastAsia="MS PGothic"/>
          <w:color w:val="000000"/>
          <w:szCs w:val="32"/>
        </w:rPr>
        <w:t xml:space="preserve"> of </w:t>
      </w:r>
      <w:proofErr w:type="gramStart"/>
      <w:r w:rsidRPr="00C51830">
        <w:rPr>
          <w:rFonts w:eastAsia="MS PGothic"/>
          <w:color w:val="000000"/>
          <w:szCs w:val="32"/>
        </w:rPr>
        <w:t>pillar[</w:t>
      </w:r>
      <w:proofErr w:type="gramEnd"/>
      <w:r w:rsidRPr="00C51830">
        <w:rPr>
          <w:rFonts w:eastAsia="MS PGothic"/>
          <w:color w:val="000000"/>
          <w:szCs w:val="32"/>
        </w:rPr>
        <w:t>5]</w:t>
      </w:r>
      <w:proofErr w:type="spellStart"/>
      <w:r w:rsidRPr="00C51830">
        <w:rPr>
          <w:rFonts w:eastAsia="MS PGothic"/>
          <w:color w:val="000000"/>
          <w:szCs w:val="32"/>
        </w:rPr>
        <w:t>arene</w:t>
      </w:r>
      <w:proofErr w:type="spellEnd"/>
      <w:r w:rsidRPr="00C51830">
        <w:rPr>
          <w:rFonts w:eastAsia="MS PGothic"/>
          <w:color w:val="000000"/>
          <w:szCs w:val="32"/>
        </w:rPr>
        <w:t xml:space="preserve"> and </w:t>
      </w:r>
      <w:proofErr w:type="spellStart"/>
      <w:r w:rsidRPr="00C51830">
        <w:rPr>
          <w:rFonts w:eastAsia="MS PGothic"/>
          <w:color w:val="000000"/>
          <w:szCs w:val="32"/>
        </w:rPr>
        <w:t>galactose</w:t>
      </w:r>
      <w:proofErr w:type="spellEnd"/>
      <w:r w:rsidRPr="00C51830">
        <w:rPr>
          <w:rFonts w:eastAsia="MS PGothic"/>
          <w:color w:val="000000"/>
          <w:szCs w:val="32"/>
        </w:rPr>
        <w:t xml:space="preserve"> derivative have been constructed, which showed GSH and pH responsiveness resulting from its </w:t>
      </w:r>
      <w:proofErr w:type="spellStart"/>
      <w:r w:rsidRPr="00C51830">
        <w:rPr>
          <w:rFonts w:eastAsia="MS PGothic"/>
          <w:color w:val="000000"/>
          <w:szCs w:val="32"/>
        </w:rPr>
        <w:t>ferrocenium</w:t>
      </w:r>
      <w:proofErr w:type="spellEnd"/>
      <w:r w:rsidRPr="00C51830">
        <w:rPr>
          <w:rFonts w:eastAsia="MS PGothic"/>
          <w:color w:val="000000"/>
          <w:szCs w:val="32"/>
        </w:rPr>
        <w:t xml:space="preserve"> </w:t>
      </w:r>
      <w:proofErr w:type="spellStart"/>
      <w:r w:rsidRPr="00C51830">
        <w:rPr>
          <w:rFonts w:eastAsia="MS PGothic"/>
          <w:color w:val="000000"/>
          <w:szCs w:val="32"/>
        </w:rPr>
        <w:t>cations</w:t>
      </w:r>
      <w:proofErr w:type="spellEnd"/>
      <w:r w:rsidRPr="00C51830">
        <w:rPr>
          <w:rFonts w:eastAsia="MS PGothic"/>
          <w:color w:val="000000"/>
          <w:szCs w:val="32"/>
        </w:rPr>
        <w:t xml:space="preserve"> or disulfide bond and amine units respectively, where  the cancer cells </w:t>
      </w:r>
      <w:proofErr w:type="spellStart"/>
      <w:r w:rsidRPr="00C51830">
        <w:rPr>
          <w:rFonts w:eastAsia="MS PGothic"/>
          <w:color w:val="000000"/>
          <w:szCs w:val="32"/>
        </w:rPr>
        <w:t>targetability</w:t>
      </w:r>
      <w:proofErr w:type="spellEnd"/>
      <w:r w:rsidRPr="00C51830">
        <w:rPr>
          <w:rFonts w:eastAsia="MS PGothic"/>
          <w:color w:val="000000"/>
          <w:szCs w:val="32"/>
        </w:rPr>
        <w:t xml:space="preserve"> was resulted from </w:t>
      </w:r>
      <w:proofErr w:type="spellStart"/>
      <w:r w:rsidRPr="00C51830">
        <w:rPr>
          <w:rFonts w:eastAsia="MS PGothic"/>
          <w:color w:val="000000"/>
          <w:szCs w:val="32"/>
        </w:rPr>
        <w:t>galactose</w:t>
      </w:r>
      <w:proofErr w:type="spellEnd"/>
      <w:r w:rsidRPr="00C51830">
        <w:rPr>
          <w:rFonts w:eastAsia="MS PGothic"/>
          <w:color w:val="000000"/>
          <w:szCs w:val="32"/>
        </w:rPr>
        <w:t xml:space="preserve"> units. DOX-loaded FACP5G exhibited quick release of DOX upon GSH in acidic solution (pH 4.0), allowing for controlled drug release. As anticipated, except for cancer cell targeting ability to </w:t>
      </w:r>
      <w:proofErr w:type="spellStart"/>
      <w:r w:rsidRPr="00C51830">
        <w:rPr>
          <w:rFonts w:eastAsia="MS PGothic"/>
          <w:color w:val="000000"/>
          <w:szCs w:val="32"/>
        </w:rPr>
        <w:t>galectin</w:t>
      </w:r>
      <w:proofErr w:type="spellEnd"/>
      <w:r w:rsidRPr="00C51830">
        <w:rPr>
          <w:rFonts w:eastAsia="MS PGothic"/>
          <w:color w:val="000000"/>
          <w:szCs w:val="32"/>
        </w:rPr>
        <w:t xml:space="preserve"> overexpressing MCF-7 cells, DOX-loaded FACP5G vesicles significantly enhances anticancer efficiency for cancer cells while effectively </w:t>
      </w:r>
      <w:bookmarkStart w:id="0" w:name="_GoBack"/>
      <w:bookmarkEnd w:id="0"/>
      <w:r w:rsidRPr="00C51830">
        <w:rPr>
          <w:rFonts w:eastAsia="MS PGothic"/>
          <w:color w:val="000000"/>
          <w:szCs w:val="32"/>
        </w:rPr>
        <w:t xml:space="preserve">reduces side effects to normal cells, which results from the responsiveness to acidic and higher GSH concentration microenvironment in tumors. Secondly, A novel </w:t>
      </w:r>
      <w:proofErr w:type="spellStart"/>
      <w:r w:rsidRPr="00C51830">
        <w:rPr>
          <w:rFonts w:eastAsia="MS PGothic"/>
          <w:color w:val="000000"/>
          <w:szCs w:val="32"/>
        </w:rPr>
        <w:t>supramolecular</w:t>
      </w:r>
      <w:proofErr w:type="spellEnd"/>
      <w:r w:rsidRPr="00C51830">
        <w:rPr>
          <w:rFonts w:eastAsia="MS PGothic"/>
          <w:color w:val="000000"/>
          <w:szCs w:val="32"/>
        </w:rPr>
        <w:t xml:space="preserve"> hybrid material ZIF-8@DOX@WP6@G constructed from the host-guest </w:t>
      </w:r>
      <w:proofErr w:type="spellStart"/>
      <w:r w:rsidRPr="00C51830">
        <w:rPr>
          <w:rFonts w:eastAsia="MS PGothic"/>
          <w:color w:val="000000"/>
          <w:szCs w:val="32"/>
        </w:rPr>
        <w:t>complexation</w:t>
      </w:r>
      <w:proofErr w:type="spellEnd"/>
      <w:r w:rsidRPr="00C51830">
        <w:rPr>
          <w:rFonts w:eastAsia="MS PGothic"/>
          <w:color w:val="000000"/>
          <w:szCs w:val="32"/>
        </w:rPr>
        <w:t xml:space="preserve"> between </w:t>
      </w:r>
      <w:proofErr w:type="spellStart"/>
      <w:r w:rsidRPr="00C51830">
        <w:rPr>
          <w:rFonts w:eastAsia="MS PGothic"/>
          <w:color w:val="000000"/>
          <w:szCs w:val="32"/>
        </w:rPr>
        <w:t>carboxylated</w:t>
      </w:r>
      <w:proofErr w:type="spellEnd"/>
      <w:r w:rsidRPr="00C51830">
        <w:rPr>
          <w:rFonts w:eastAsia="MS PGothic"/>
          <w:color w:val="000000"/>
          <w:szCs w:val="32"/>
        </w:rPr>
        <w:t xml:space="preserve"> pillar[6]</w:t>
      </w:r>
      <w:proofErr w:type="spellStart"/>
      <w:r w:rsidRPr="00C51830">
        <w:rPr>
          <w:rFonts w:eastAsia="MS PGothic"/>
          <w:color w:val="000000"/>
          <w:szCs w:val="32"/>
        </w:rPr>
        <w:t>arene</w:t>
      </w:r>
      <w:proofErr w:type="spellEnd"/>
      <w:r w:rsidRPr="00C51830">
        <w:rPr>
          <w:rFonts w:eastAsia="MS PGothic"/>
          <w:color w:val="000000"/>
          <w:szCs w:val="32"/>
        </w:rPr>
        <w:t xml:space="preserve"> (WP6) and </w:t>
      </w:r>
      <w:proofErr w:type="spellStart"/>
      <w:r w:rsidRPr="00C51830">
        <w:rPr>
          <w:rFonts w:eastAsia="MS PGothic"/>
          <w:color w:val="000000"/>
          <w:szCs w:val="32"/>
        </w:rPr>
        <w:t>galactose</w:t>
      </w:r>
      <w:proofErr w:type="spellEnd"/>
      <w:r w:rsidRPr="00C51830">
        <w:rPr>
          <w:rFonts w:eastAsia="MS PGothic"/>
          <w:color w:val="000000"/>
          <w:szCs w:val="32"/>
        </w:rPr>
        <w:t xml:space="preserve"> derivative (G), and doxorubicin (DOX)-loaded ZIF-8 has been synthesized for targeted drug delivery. The results showed that ZIF-8@DOX@WP6@G not only maintained the pH-sensitive drug release property of ZIF-8 but also exhibited excellent water </w:t>
      </w:r>
      <w:proofErr w:type="spellStart"/>
      <w:r w:rsidRPr="00C51830">
        <w:rPr>
          <w:rFonts w:eastAsia="MS PGothic"/>
          <w:color w:val="000000"/>
          <w:szCs w:val="32"/>
        </w:rPr>
        <w:t>dispersibility</w:t>
      </w:r>
      <w:proofErr w:type="spellEnd"/>
      <w:r w:rsidRPr="00C51830">
        <w:rPr>
          <w:rFonts w:eastAsia="MS PGothic"/>
          <w:color w:val="000000"/>
          <w:szCs w:val="32"/>
        </w:rPr>
        <w:t xml:space="preserve"> and selective toxicity for </w:t>
      </w:r>
      <w:proofErr w:type="spellStart"/>
      <w:r w:rsidRPr="00C51830">
        <w:rPr>
          <w:rFonts w:eastAsia="MS PGothic"/>
          <w:color w:val="000000"/>
          <w:szCs w:val="32"/>
        </w:rPr>
        <w:t>hepatoma</w:t>
      </w:r>
      <w:proofErr w:type="spellEnd"/>
      <w:r w:rsidRPr="00C51830">
        <w:rPr>
          <w:rFonts w:eastAsia="MS PGothic"/>
          <w:color w:val="000000"/>
          <w:szCs w:val="32"/>
        </w:rPr>
        <w:t xml:space="preserve"> cancer cells due to the assembly of WP6 and G. In summary, this report provides good examples for rationale design in the construction of </w:t>
      </w:r>
      <w:proofErr w:type="spellStart"/>
      <w:r w:rsidRPr="00C51830">
        <w:rPr>
          <w:rFonts w:eastAsia="MS PGothic"/>
          <w:color w:val="000000"/>
          <w:szCs w:val="32"/>
        </w:rPr>
        <w:t>glyco-nanosystems</w:t>
      </w:r>
      <w:proofErr w:type="spellEnd"/>
      <w:r w:rsidRPr="00C51830">
        <w:rPr>
          <w:rFonts w:eastAsia="MS PGothic"/>
          <w:color w:val="000000"/>
          <w:szCs w:val="32"/>
        </w:rPr>
        <w:t xml:space="preserve"> based on host-guest </w:t>
      </w:r>
      <w:proofErr w:type="spellStart"/>
      <w:r w:rsidRPr="00C51830">
        <w:rPr>
          <w:rFonts w:eastAsia="MS PGothic"/>
          <w:color w:val="000000"/>
          <w:szCs w:val="32"/>
        </w:rPr>
        <w:t>complexation</w:t>
      </w:r>
      <w:proofErr w:type="spellEnd"/>
      <w:r w:rsidRPr="00C51830">
        <w:rPr>
          <w:rFonts w:eastAsia="MS PGothic"/>
          <w:color w:val="000000"/>
          <w:szCs w:val="32"/>
        </w:rPr>
        <w:t>, which have great potential applica</w:t>
      </w:r>
      <w:r>
        <w:rPr>
          <w:rFonts w:eastAsia="MS PGothic"/>
          <w:color w:val="000000"/>
          <w:szCs w:val="32"/>
        </w:rPr>
        <w:t>tions for cancer chemotherapies</w:t>
      </w:r>
      <w:r w:rsidR="008E737B" w:rsidRPr="00FE59A3">
        <w:rPr>
          <w:color w:val="000000"/>
        </w:rPr>
        <w:t>.</w:t>
      </w:r>
      <w:r w:rsidR="00AF61EB">
        <w:rPr>
          <w:color w:val="000000"/>
        </w:rPr>
        <w:t xml:space="preserve"> 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Default="00C51830" w:rsidP="007D233A">
      <w:pPr>
        <w:jc w:val="both"/>
        <w:rPr>
          <w:b/>
          <w:color w:val="0000FF"/>
        </w:rPr>
      </w:pPr>
      <w:proofErr w:type="spellStart"/>
      <w:r w:rsidRPr="00C51830">
        <w:t>Zhichao</w:t>
      </w:r>
      <w:proofErr w:type="spellEnd"/>
      <w:r w:rsidRPr="00C51830">
        <w:t xml:space="preserve"> Pei did his PhD degree in Chemistry at Royal Institute of Technology (Sweden) in 2006 under the supervision of Prof. </w:t>
      </w:r>
      <w:proofErr w:type="spellStart"/>
      <w:r w:rsidRPr="00C51830">
        <w:t>Olof</w:t>
      </w:r>
      <w:proofErr w:type="spellEnd"/>
      <w:r w:rsidRPr="00C51830">
        <w:t xml:space="preserve"> </w:t>
      </w:r>
      <w:proofErr w:type="spellStart"/>
      <w:r w:rsidRPr="00C51830">
        <w:t>Ramstrom</w:t>
      </w:r>
      <w:proofErr w:type="spellEnd"/>
      <w:r w:rsidRPr="00C51830">
        <w:t xml:space="preserve">. From 2007 till 2010, he was a senior researcher and R&amp;D manager of biochip at </w:t>
      </w:r>
      <w:proofErr w:type="spellStart"/>
      <w:r w:rsidRPr="00C51830">
        <w:t>Attana</w:t>
      </w:r>
      <w:proofErr w:type="spellEnd"/>
      <w:r w:rsidRPr="00C51830">
        <w:t xml:space="preserve"> AB in Sweden. Since 2010, he has been a Chair Professor at Northwest A&amp;F University (China), where his research interests are </w:t>
      </w:r>
      <w:proofErr w:type="spellStart"/>
      <w:r w:rsidRPr="00C51830">
        <w:t>supramolecular</w:t>
      </w:r>
      <w:proofErr w:type="spellEnd"/>
      <w:r w:rsidRPr="00C51830">
        <w:t xml:space="preserve"> self-assembly, </w:t>
      </w:r>
      <w:proofErr w:type="spellStart"/>
      <w:r w:rsidRPr="00C51830">
        <w:t>nanomedicine</w:t>
      </w:r>
      <w:proofErr w:type="spellEnd"/>
      <w:r w:rsidRPr="00C51830">
        <w:t xml:space="preserve">, drug delivery, </w:t>
      </w:r>
      <w:proofErr w:type="spellStart"/>
      <w:r w:rsidRPr="00C51830">
        <w:t>glyconanomaterial</w:t>
      </w:r>
      <w:r>
        <w:t>s</w:t>
      </w:r>
      <w:proofErr w:type="spellEnd"/>
      <w:r>
        <w:t xml:space="preserve">, biosensors and </w:t>
      </w:r>
      <w:proofErr w:type="spellStart"/>
      <w:r>
        <w:t>biointerfaces</w:t>
      </w:r>
      <w:proofErr w:type="spellEnd"/>
      <w:r w:rsidR="0031455A">
        <w:t>.</w:t>
      </w:r>
      <w:r w:rsidR="00B03DB8">
        <w:t xml:space="preserve"> </w:t>
      </w:r>
    </w:p>
    <w:p w:rsidR="000E37E0" w:rsidRDefault="000E37E0" w:rsidP="007D233A">
      <w:pPr>
        <w:jc w:val="both"/>
        <w:rPr>
          <w:b/>
          <w:color w:val="0000FF"/>
        </w:rPr>
      </w:pPr>
    </w:p>
    <w:p w:rsidR="000E37E0" w:rsidRDefault="000E37E0" w:rsidP="000E37E0">
      <w:pPr>
        <w:jc w:val="both"/>
      </w:pPr>
      <w:r>
        <w:t xml:space="preserve">Presenting author details </w:t>
      </w:r>
    </w:p>
    <w:p w:rsidR="000E37E0" w:rsidRPr="00C51830" w:rsidRDefault="000E37E0" w:rsidP="000E37E0">
      <w:pPr>
        <w:jc w:val="both"/>
        <w:rPr>
          <w:rFonts w:eastAsiaTheme="minorEastAsia"/>
          <w:lang w:eastAsia="zh-CN"/>
        </w:rPr>
      </w:pPr>
      <w:r>
        <w:t xml:space="preserve">Full name: </w:t>
      </w:r>
      <w:proofErr w:type="spellStart"/>
      <w:r w:rsidR="00C51830">
        <w:rPr>
          <w:rFonts w:eastAsiaTheme="minorEastAsia" w:hint="eastAsia"/>
          <w:lang w:eastAsia="zh-CN"/>
        </w:rPr>
        <w:t>Zhichao</w:t>
      </w:r>
      <w:proofErr w:type="spellEnd"/>
      <w:r w:rsidR="00C51830">
        <w:rPr>
          <w:rFonts w:eastAsiaTheme="minorEastAsia" w:hint="eastAsia"/>
          <w:lang w:eastAsia="zh-CN"/>
        </w:rPr>
        <w:t xml:space="preserve"> Pei</w:t>
      </w:r>
    </w:p>
    <w:p w:rsidR="000E37E0" w:rsidRPr="00126907" w:rsidRDefault="000E37E0" w:rsidP="000E37E0">
      <w:pPr>
        <w:jc w:val="both"/>
        <w:rPr>
          <w:rFonts w:eastAsiaTheme="minorEastAsia"/>
          <w:lang w:eastAsia="zh-CN"/>
        </w:rPr>
      </w:pPr>
      <w:r>
        <w:t>Contact number:</w:t>
      </w:r>
      <w:r w:rsidR="00C91DF2">
        <w:rPr>
          <w:rFonts w:eastAsiaTheme="minorEastAsia" w:hint="eastAsia"/>
          <w:lang w:eastAsia="zh-CN"/>
        </w:rPr>
        <w:t xml:space="preserve"> </w:t>
      </w:r>
      <w:r w:rsidR="00126907">
        <w:rPr>
          <w:rFonts w:eastAsiaTheme="minorEastAsia" w:hint="eastAsia"/>
          <w:lang w:eastAsia="zh-CN"/>
        </w:rPr>
        <w:t>+8615091772308</w:t>
      </w:r>
    </w:p>
    <w:p w:rsidR="000E37E0" w:rsidRDefault="000E37E0" w:rsidP="000E37E0">
      <w:pPr>
        <w:jc w:val="both"/>
      </w:pPr>
      <w:r>
        <w:t>Twitter account:</w:t>
      </w:r>
    </w:p>
    <w:p w:rsidR="000E37E0" w:rsidRDefault="000E37E0" w:rsidP="000E37E0">
      <w:pPr>
        <w:jc w:val="both"/>
      </w:pPr>
      <w:r>
        <w:t>Linked In account:</w:t>
      </w:r>
    </w:p>
    <w:p w:rsidR="000E37E0" w:rsidRDefault="000E37E0" w:rsidP="000E37E0">
      <w:pPr>
        <w:jc w:val="both"/>
      </w:pPr>
      <w:r>
        <w:t>Session name/ number:</w:t>
      </w:r>
    </w:p>
    <w:p w:rsidR="007D233A" w:rsidRPr="00892A24" w:rsidRDefault="000E37E0" w:rsidP="00363668">
      <w:pPr>
        <w:jc w:val="both"/>
        <w:rPr>
          <w:rFonts w:eastAsiaTheme="minorEastAsia"/>
          <w:lang w:eastAsia="zh-CN"/>
        </w:rPr>
      </w:pPr>
      <w:r>
        <w:t>Category: (Oral presentation)</w:t>
      </w:r>
    </w:p>
    <w:sectPr w:rsidR="007D233A" w:rsidRPr="00892A24" w:rsidSect="000E37E0">
      <w:pgSz w:w="12240" w:h="15840"/>
      <w:pgMar w:top="630" w:right="450" w:bottom="144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7F6" w:rsidRDefault="00E107F6" w:rsidP="00C51830">
      <w:r>
        <w:separator/>
      </w:r>
    </w:p>
  </w:endnote>
  <w:endnote w:type="continuationSeparator" w:id="0">
    <w:p w:rsidR="00E107F6" w:rsidRDefault="00E107F6" w:rsidP="00C51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7F6" w:rsidRDefault="00E107F6" w:rsidP="00C51830">
      <w:r>
        <w:separator/>
      </w:r>
    </w:p>
  </w:footnote>
  <w:footnote w:type="continuationSeparator" w:id="0">
    <w:p w:rsidR="00E107F6" w:rsidRDefault="00E107F6" w:rsidP="00C518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0E37E0"/>
    <w:rsid w:val="00126907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92A24"/>
    <w:rsid w:val="008E2F78"/>
    <w:rsid w:val="008E737B"/>
    <w:rsid w:val="00912F54"/>
    <w:rsid w:val="00920B4D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1830"/>
    <w:rsid w:val="00C578FF"/>
    <w:rsid w:val="00C828BF"/>
    <w:rsid w:val="00C91DF2"/>
    <w:rsid w:val="00CE3B68"/>
    <w:rsid w:val="00CE6677"/>
    <w:rsid w:val="00D605F8"/>
    <w:rsid w:val="00D734FE"/>
    <w:rsid w:val="00D841B1"/>
    <w:rsid w:val="00DC433A"/>
    <w:rsid w:val="00E107F6"/>
    <w:rsid w:val="00E63452"/>
    <w:rsid w:val="00ED2B89"/>
    <w:rsid w:val="00F815F6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C518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C51830"/>
    <w:rPr>
      <w:rFonts w:ascii="Times New Roman" w:eastAsia="Batang" w:hAnsi="Times New Roman"/>
      <w:sz w:val="18"/>
      <w:szCs w:val="18"/>
      <w:lang w:eastAsia="ko-KR"/>
    </w:rPr>
  </w:style>
  <w:style w:type="paragraph" w:styleId="a7">
    <w:name w:val="footer"/>
    <w:basedOn w:val="a"/>
    <w:link w:val="Char1"/>
    <w:uiPriority w:val="99"/>
    <w:unhideWhenUsed/>
    <w:rsid w:val="00C5183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C51830"/>
    <w:rPr>
      <w:rFonts w:ascii="Times New Roman" w:eastAsia="Batang" w:hAnsi="Times New Roman"/>
      <w:sz w:val="18"/>
      <w:szCs w:val="18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C518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C51830"/>
    <w:rPr>
      <w:rFonts w:ascii="Times New Roman" w:eastAsia="Batang" w:hAnsi="Times New Roman"/>
      <w:sz w:val="18"/>
      <w:szCs w:val="18"/>
      <w:lang w:eastAsia="ko-KR"/>
    </w:rPr>
  </w:style>
  <w:style w:type="paragraph" w:styleId="a7">
    <w:name w:val="footer"/>
    <w:basedOn w:val="a"/>
    <w:link w:val="Char1"/>
    <w:uiPriority w:val="99"/>
    <w:unhideWhenUsed/>
    <w:rsid w:val="00C5183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C51830"/>
    <w:rPr>
      <w:rFonts w:ascii="Times New Roman" w:eastAsia="Batang" w:hAnsi="Times New Roman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裴玉新</cp:lastModifiedBy>
  <cp:revision>2</cp:revision>
  <dcterms:created xsi:type="dcterms:W3CDTF">2020-01-03T07:32:00Z</dcterms:created>
  <dcterms:modified xsi:type="dcterms:W3CDTF">2020-01-03T07:32:00Z</dcterms:modified>
</cp:coreProperties>
</file>