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8D1538">
        <w:rPr>
          <w:noProof/>
          <w:lang w:val="en-US" w:eastAsia="en-US"/>
        </w:rPr>
        <w:drawing>
          <wp:inline distT="0" distB="0" distL="0" distR="0">
            <wp:extent cx="1007388" cy="1177747"/>
            <wp:effectExtent l="0" t="0" r="2540" b="381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9" cstate="print">
                      <a:extLst>
                        <a:ext uri="{28A0092B-C50C-407E-A947-70E740481C1C}">
                          <a14:useLocalDpi xmlns:a14="http://schemas.microsoft.com/office/drawing/2010/main" val="0"/>
                        </a:ext>
                      </a:extLst>
                    </a:blip>
                    <a:srcRect l="13127" t="6454" r="14264" b="17407"/>
                    <a:stretch>
                      <a:fillRect/>
                    </a:stretch>
                  </pic:blipFill>
                  <pic:spPr bwMode="auto">
                    <a:xfrm>
                      <a:off x="0" y="0"/>
                      <a:ext cx="1007582" cy="1177974"/>
                    </a:xfrm>
                    <a:prstGeom prst="rect">
                      <a:avLst/>
                    </a:prstGeom>
                    <a:noFill/>
                    <a:ln>
                      <a:noFill/>
                    </a:ln>
                  </pic:spPr>
                </pic:pic>
              </a:graphicData>
            </a:graphic>
          </wp:inline>
        </w:drawing>
      </w:r>
    </w:p>
    <w:p w:rsidR="00AC3BCD" w:rsidRDefault="00D6382C" w:rsidP="00D6382C">
      <w:pPr>
        <w:rPr>
          <w:rFonts w:eastAsia="MS PGothic"/>
          <w:b/>
          <w:color w:val="000000"/>
          <w:sz w:val="28"/>
          <w:szCs w:val="28"/>
        </w:rPr>
      </w:pPr>
      <w:r w:rsidRPr="00D6382C">
        <w:rPr>
          <w:rFonts w:eastAsia="MS PGothic"/>
          <w:b/>
          <w:color w:val="000000"/>
          <w:sz w:val="28"/>
          <w:szCs w:val="28"/>
        </w:rPr>
        <w:t>Development of prohib</w:t>
      </w:r>
      <w:r>
        <w:rPr>
          <w:rFonts w:eastAsia="MS PGothic"/>
          <w:b/>
          <w:color w:val="000000"/>
          <w:sz w:val="28"/>
          <w:szCs w:val="28"/>
        </w:rPr>
        <w:t xml:space="preserve">itin ligands to treat cancers, </w:t>
      </w:r>
      <w:r w:rsidRPr="00D6382C">
        <w:rPr>
          <w:rFonts w:eastAsia="MS PGothic"/>
          <w:b/>
          <w:color w:val="000000"/>
          <w:sz w:val="28"/>
          <w:szCs w:val="28"/>
        </w:rPr>
        <w:t>cardiac and immunological disorders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D6382C" w:rsidRPr="00D6382C">
        <w:rPr>
          <w:rFonts w:eastAsia="Calibri"/>
          <w:szCs w:val="22"/>
          <w:lang w:val="en-IN" w:eastAsia="en-US"/>
        </w:rPr>
        <w:t>L</w:t>
      </w:r>
      <w:r w:rsidR="00D6382C">
        <w:rPr>
          <w:rFonts w:eastAsia="Calibri"/>
          <w:szCs w:val="22"/>
          <w:lang w:val="en-IN" w:eastAsia="en-US"/>
        </w:rPr>
        <w:t>aurent</w:t>
      </w:r>
      <w:r w:rsidR="00D6382C" w:rsidRPr="00D6382C">
        <w:rPr>
          <w:rFonts w:eastAsia="Calibri"/>
          <w:szCs w:val="22"/>
          <w:lang w:val="en-IN" w:eastAsia="en-US"/>
        </w:rPr>
        <w:t xml:space="preserve"> Désaubry</w:t>
      </w:r>
    </w:p>
    <w:p w:rsidR="00AC3BCD" w:rsidRPr="00D6382C" w:rsidRDefault="00D6382C" w:rsidP="00D6382C">
      <w:pPr>
        <w:rPr>
          <w:rFonts w:eastAsia="MS PGothic" w:hAnsi="Arial"/>
          <w:color w:val="000000"/>
        </w:rPr>
      </w:pPr>
      <w:r>
        <w:rPr>
          <w:rFonts w:eastAsia="MS PGothic" w:hAnsi="Arial"/>
          <w:color w:val="000000"/>
        </w:rPr>
        <w:t>L</w:t>
      </w:r>
      <w:r w:rsidRPr="00D6382C">
        <w:rPr>
          <w:rFonts w:eastAsia="MS PGothic" w:hAnsi="Arial"/>
          <w:color w:val="000000"/>
        </w:rPr>
        <w:t>aboratory of Cardio-oncology and Medicinal Chemistry, CNRS</w:t>
      </w:r>
      <w:r>
        <w:rPr>
          <w:rFonts w:eastAsia="MS PGothic" w:hAnsi="Arial"/>
          <w:color w:val="000000"/>
        </w:rPr>
        <w:t xml:space="preserve">, </w:t>
      </w:r>
      <w:r w:rsidRPr="00D6382C">
        <w:rPr>
          <w:rFonts w:eastAsia="MS PGothic" w:hAnsi="Arial"/>
          <w:color w:val="000000"/>
        </w:rPr>
        <w:t>University of Strasbourg, France</w:t>
      </w:r>
      <w:r>
        <w:rPr>
          <w:rFonts w:eastAsia="MS PGothic" w:hAnsi="Arial"/>
          <w:color w:val="000000"/>
        </w:rPr>
        <w:t xml:space="preserve"> &amp; </w:t>
      </w:r>
      <w:r w:rsidRPr="00D6382C">
        <w:rPr>
          <w:rFonts w:eastAsia="MS PGothic" w:hAnsi="Arial"/>
          <w:color w:val="000000"/>
        </w:rPr>
        <w:t>Sino-French Joint Lab of Food Nutrition/Safety and Medicinal Chemistry, Tianjin University of Science and Technology, China</w:t>
      </w:r>
    </w:p>
    <w:p w:rsidR="00AC3BCD" w:rsidRDefault="00AC3BCD" w:rsidP="00AC3BCD">
      <w:pPr>
        <w:jc w:val="center"/>
        <w:rPr>
          <w:rFonts w:eastAsia="Batang"/>
          <w:color w:val="0000FF"/>
          <w:sz w:val="36"/>
          <w:szCs w:val="36"/>
        </w:rPr>
      </w:pPr>
    </w:p>
    <w:p w:rsidR="00D6382C" w:rsidRPr="00D6382C" w:rsidRDefault="005A7815" w:rsidP="000C1373">
      <w:pPr>
        <w:jc w:val="both"/>
        <w:rPr>
          <w:rFonts w:eastAsia="MS PGothic"/>
          <w:color w:val="000000"/>
          <w:szCs w:val="32"/>
          <w:lang w:val="en-GB"/>
        </w:rPr>
      </w:pPr>
      <w:r w:rsidRPr="005A7815">
        <w:rPr>
          <w:rFonts w:eastAsia="MS PGothic"/>
          <w:color w:val="000000"/>
          <w:szCs w:val="32"/>
          <w:lang w:val="en-GB"/>
        </w:rPr>
        <w:t xml:space="preserve">Over the last three decades, the scaffold proteins prohibitins-1 and -2 (PHB1/2) have emerged as key </w:t>
      </w:r>
      <w:proofErr w:type="spellStart"/>
      <w:r w:rsidRPr="005A7815">
        <w:rPr>
          <w:rFonts w:eastAsia="MS PGothic"/>
          <w:color w:val="000000"/>
          <w:szCs w:val="32"/>
          <w:lang w:val="en-GB"/>
        </w:rPr>
        <w:t>signaling</w:t>
      </w:r>
      <w:proofErr w:type="spellEnd"/>
      <w:r w:rsidRPr="005A7815">
        <w:rPr>
          <w:rFonts w:eastAsia="MS PGothic"/>
          <w:color w:val="000000"/>
          <w:szCs w:val="32"/>
          <w:lang w:val="en-GB"/>
        </w:rPr>
        <w:t xml:space="preserve"> proteins regulating a myriad of </w:t>
      </w:r>
      <w:proofErr w:type="spellStart"/>
      <w:r w:rsidRPr="005A7815">
        <w:rPr>
          <w:rFonts w:eastAsia="MS PGothic"/>
          <w:color w:val="000000"/>
          <w:szCs w:val="32"/>
          <w:lang w:val="en-GB"/>
        </w:rPr>
        <w:t>signaling</w:t>
      </w:r>
      <w:proofErr w:type="spellEnd"/>
      <w:r w:rsidRPr="005A7815">
        <w:rPr>
          <w:rFonts w:eastAsia="MS PGothic"/>
          <w:color w:val="000000"/>
          <w:szCs w:val="32"/>
          <w:lang w:val="en-GB"/>
        </w:rPr>
        <w:t xml:space="preserve"> pathways in health and diseases. Small molecules targeting PHBs display promising effects against </w:t>
      </w:r>
      <w:r>
        <w:rPr>
          <w:rFonts w:eastAsia="MS PGothic"/>
          <w:color w:val="000000"/>
          <w:szCs w:val="32"/>
          <w:lang w:val="en-GB"/>
        </w:rPr>
        <w:t xml:space="preserve">several </w:t>
      </w:r>
      <w:proofErr w:type="gramStart"/>
      <w:r>
        <w:rPr>
          <w:rFonts w:eastAsia="MS PGothic"/>
          <w:color w:val="000000"/>
          <w:szCs w:val="32"/>
          <w:lang w:val="en-GB"/>
        </w:rPr>
        <w:t>disease</w:t>
      </w:r>
      <w:proofErr w:type="gramEnd"/>
      <w:r>
        <w:rPr>
          <w:rFonts w:eastAsia="MS PGothic"/>
          <w:color w:val="000000"/>
          <w:szCs w:val="32"/>
          <w:lang w:val="en-GB"/>
        </w:rPr>
        <w:t xml:space="preserve">. With our collaborators we developed analogues of natural products belonging to the class of flavaglines that </w:t>
      </w:r>
      <w:r w:rsidR="000C1373">
        <w:rPr>
          <w:rFonts w:eastAsia="MS PGothic"/>
          <w:color w:val="000000"/>
          <w:szCs w:val="32"/>
          <w:lang w:val="en-GB"/>
        </w:rPr>
        <w:t xml:space="preserve">block </w:t>
      </w:r>
      <w:r w:rsidR="00D6382C" w:rsidRPr="00D6382C">
        <w:rPr>
          <w:rFonts w:eastAsia="MS PGothic"/>
          <w:color w:val="000000"/>
          <w:szCs w:val="32"/>
          <w:lang w:val="en-GB"/>
        </w:rPr>
        <w:t xml:space="preserve">the interaction between PHBs </w:t>
      </w:r>
      <w:r w:rsidR="00EF2360">
        <w:rPr>
          <w:rFonts w:eastAsia="MS PGothic"/>
          <w:color w:val="000000"/>
          <w:szCs w:val="32"/>
          <w:lang w:val="en-GB"/>
        </w:rPr>
        <w:t>and C-RAF and, thereby, inhibit</w:t>
      </w:r>
      <w:r w:rsidR="00D6382C" w:rsidRPr="00D6382C">
        <w:rPr>
          <w:rFonts w:eastAsia="MS PGothic"/>
          <w:color w:val="000000"/>
          <w:szCs w:val="32"/>
          <w:lang w:val="en-GB"/>
        </w:rPr>
        <w:t xml:space="preserve"> C-RAF-MEK-ERK signalling, which is critical to survival and proliferation of cancer cells</w:t>
      </w:r>
      <w:r w:rsidR="00EF2360">
        <w:rPr>
          <w:rFonts w:eastAsia="MS PGothic"/>
          <w:color w:val="000000"/>
          <w:szCs w:val="32"/>
          <w:lang w:val="en-GB"/>
        </w:rPr>
        <w:t>.</w:t>
      </w:r>
    </w:p>
    <w:p w:rsidR="00D6382C" w:rsidRPr="00D6382C" w:rsidRDefault="00D6382C" w:rsidP="00EF2360">
      <w:pPr>
        <w:jc w:val="both"/>
        <w:rPr>
          <w:rFonts w:eastAsia="MS PGothic"/>
          <w:color w:val="000000"/>
          <w:szCs w:val="32"/>
          <w:lang w:val="en-GB"/>
        </w:rPr>
      </w:pPr>
      <w:r w:rsidRPr="00D6382C">
        <w:rPr>
          <w:rFonts w:eastAsia="MS PGothic"/>
          <w:color w:val="000000"/>
          <w:szCs w:val="32"/>
          <w:lang w:val="en-GB"/>
        </w:rPr>
        <w:t>We also demonstrated that these compounds protect the heart from the adverse effects of cancer chemotherapies involving anthracyclines. We showed that this cardioprotection is mediated by the activation of the mitochondrial PHB-STAT3 complex.</w:t>
      </w:r>
    </w:p>
    <w:p w:rsidR="00AC3BCD" w:rsidRDefault="00D6382C" w:rsidP="00EF2360">
      <w:pPr>
        <w:jc w:val="both"/>
        <w:rPr>
          <w:color w:val="FF0000"/>
        </w:rPr>
      </w:pPr>
      <w:r w:rsidRPr="00D6382C">
        <w:rPr>
          <w:rFonts w:eastAsia="MS PGothic"/>
          <w:color w:val="000000"/>
          <w:szCs w:val="32"/>
          <w:lang w:val="en-IN"/>
        </w:rPr>
        <w:t>In addition to these lines of research, we also developed new PHB ligands belonging to the class</w:t>
      </w:r>
      <w:r w:rsidR="000C1373">
        <w:rPr>
          <w:rFonts w:eastAsia="MS PGothic"/>
          <w:color w:val="000000"/>
          <w:szCs w:val="32"/>
          <w:lang w:val="en-IN"/>
        </w:rPr>
        <w:t>es</w:t>
      </w:r>
      <w:r w:rsidRPr="00D6382C">
        <w:rPr>
          <w:rFonts w:eastAsia="MS PGothic"/>
          <w:color w:val="000000"/>
          <w:szCs w:val="32"/>
          <w:lang w:val="en-IN"/>
        </w:rPr>
        <w:t xml:space="preserve"> of </w:t>
      </w:r>
      <w:proofErr w:type="spellStart"/>
      <w:r w:rsidR="000C1373">
        <w:rPr>
          <w:rFonts w:eastAsia="MS PGothic"/>
          <w:color w:val="000000"/>
          <w:szCs w:val="32"/>
          <w:lang w:val="en-IN"/>
        </w:rPr>
        <w:t>spiro-oxindoles</w:t>
      </w:r>
      <w:proofErr w:type="spellEnd"/>
      <w:r w:rsidR="000C1373">
        <w:rPr>
          <w:rFonts w:eastAsia="MS PGothic"/>
          <w:color w:val="000000"/>
          <w:szCs w:val="32"/>
          <w:lang w:val="en-IN"/>
        </w:rPr>
        <w:t xml:space="preserve"> and </w:t>
      </w:r>
      <w:proofErr w:type="spellStart"/>
      <w:r w:rsidRPr="00D6382C">
        <w:rPr>
          <w:rFonts w:eastAsia="MS PGothic"/>
          <w:color w:val="000000"/>
          <w:szCs w:val="32"/>
          <w:lang w:val="en-IN"/>
        </w:rPr>
        <w:t>triazines</w:t>
      </w:r>
      <w:proofErr w:type="spellEnd"/>
      <w:r w:rsidRPr="00D6382C">
        <w:rPr>
          <w:rFonts w:eastAsia="MS PGothic"/>
          <w:color w:val="000000"/>
          <w:szCs w:val="32"/>
          <w:lang w:val="en-IN"/>
        </w:rPr>
        <w:t xml:space="preserve"> that </w:t>
      </w:r>
      <w:r w:rsidR="000C1373">
        <w:rPr>
          <w:rFonts w:eastAsia="MS PGothic"/>
          <w:color w:val="000000"/>
          <w:szCs w:val="32"/>
          <w:lang w:val="en-IN"/>
        </w:rPr>
        <w:t xml:space="preserve">respectively promote cardioprotection and </w:t>
      </w:r>
      <w:r w:rsidRPr="00D6382C">
        <w:rPr>
          <w:rFonts w:eastAsia="MS PGothic"/>
          <w:color w:val="000000"/>
          <w:szCs w:val="32"/>
          <w:lang w:val="en-IN"/>
        </w:rPr>
        <w:t>modulate the biosynthesis of melanin in melanocytes. The structure-activity relationships of these new drugs and their detailed mechanism of action will also be presented</w:t>
      </w:r>
      <w:r w:rsidR="00254A73">
        <w:rPr>
          <w:rFonts w:eastAsia="MS PGothic"/>
          <w:color w:val="000000"/>
          <w:szCs w:val="32"/>
          <w:lang w:val="en-IN"/>
        </w:rPr>
        <w:t>.</w:t>
      </w:r>
      <w:r w:rsidRPr="00D6382C">
        <w:rPr>
          <w:rFonts w:eastAsia="MS PGothic"/>
          <w:color w:val="000000"/>
          <w:szCs w:val="32"/>
        </w:rPr>
        <w:t xml:space="preserve"> </w:t>
      </w:r>
    </w:p>
    <w:p w:rsidR="000C1373" w:rsidRPr="000C1373" w:rsidRDefault="000C1373" w:rsidP="00D6382C">
      <w:pPr>
        <w:ind w:firstLine="720"/>
        <w:jc w:val="both"/>
        <w:rPr>
          <w:color w:val="000000"/>
          <w:lang w:val="en-GB"/>
        </w:rPr>
      </w:pP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D6382C" w:rsidRPr="00553DD2" w:rsidRDefault="00D6382C" w:rsidP="00D6382C">
      <w:pPr>
        <w:pStyle w:val="PrformatHTML"/>
        <w:jc w:val="both"/>
        <w:rPr>
          <w:rFonts w:ascii="Times New Roman" w:hAnsi="Times New Roman" w:cs="Times New Roman"/>
          <w:iCs/>
          <w:sz w:val="24"/>
        </w:rPr>
      </w:pPr>
      <w:r w:rsidRPr="00800902">
        <w:rPr>
          <w:rFonts w:ascii="Times New Roman" w:hAnsi="Times New Roman" w:cs="Times New Roman"/>
          <w:iCs/>
          <w:sz w:val="24"/>
        </w:rPr>
        <w:t>Dr Laurent Désaubry is a CNRS research director in the University of Strasbourg in France (website: http://desaubry.u-strasbg.fr</w:t>
      </w:r>
      <w:bookmarkStart w:id="0" w:name="_GoBack"/>
      <w:bookmarkEnd w:id="0"/>
      <w:r w:rsidRPr="00800902">
        <w:rPr>
          <w:rFonts w:ascii="Times New Roman" w:hAnsi="Times New Roman" w:cs="Times New Roman"/>
          <w:iCs/>
          <w:sz w:val="24"/>
        </w:rPr>
        <w:t xml:space="preserve">/) and adjunct professor at Tianjin University of Science and Technology (TUST) in China. </w:t>
      </w:r>
      <w:r w:rsidR="008D1538">
        <w:rPr>
          <w:rFonts w:ascii="Times New Roman" w:hAnsi="Times New Roman" w:cs="Times New Roman"/>
          <w:iCs/>
          <w:sz w:val="24"/>
        </w:rPr>
        <w:t xml:space="preserve">After a </w:t>
      </w:r>
      <w:r w:rsidRPr="00800902">
        <w:rPr>
          <w:rFonts w:ascii="Times New Roman" w:hAnsi="Times New Roman" w:cs="Times New Roman"/>
          <w:iCs/>
          <w:sz w:val="24"/>
        </w:rPr>
        <w:t xml:space="preserve">Ph.D. degree in medicinal chemistry </w:t>
      </w:r>
      <w:r w:rsidR="008D1538">
        <w:rPr>
          <w:rFonts w:ascii="Times New Roman" w:hAnsi="Times New Roman" w:cs="Times New Roman"/>
          <w:iCs/>
          <w:sz w:val="24"/>
        </w:rPr>
        <w:t>at</w:t>
      </w:r>
      <w:r w:rsidRPr="00800902">
        <w:rPr>
          <w:rFonts w:ascii="Times New Roman" w:hAnsi="Times New Roman" w:cs="Times New Roman"/>
          <w:iCs/>
          <w:sz w:val="24"/>
        </w:rPr>
        <w:t xml:space="preserve"> Strasbourg University</w:t>
      </w:r>
      <w:r w:rsidR="008D1538">
        <w:rPr>
          <w:rFonts w:ascii="Times New Roman" w:hAnsi="Times New Roman" w:cs="Times New Roman"/>
          <w:iCs/>
          <w:sz w:val="24"/>
        </w:rPr>
        <w:t xml:space="preserve"> and </w:t>
      </w:r>
      <w:r w:rsidRPr="00800902">
        <w:rPr>
          <w:rFonts w:ascii="Times New Roman" w:hAnsi="Times New Roman" w:cs="Times New Roman"/>
          <w:iCs/>
          <w:sz w:val="24"/>
        </w:rPr>
        <w:t xml:space="preserve">postdoctoral </w:t>
      </w:r>
      <w:proofErr w:type="spellStart"/>
      <w:r w:rsidR="008D1538">
        <w:rPr>
          <w:rFonts w:ascii="Times New Roman" w:hAnsi="Times New Roman" w:cs="Times New Roman"/>
          <w:iCs/>
          <w:sz w:val="24"/>
        </w:rPr>
        <w:t>internership</w:t>
      </w:r>
      <w:proofErr w:type="spellEnd"/>
      <w:r w:rsidR="008D1538">
        <w:rPr>
          <w:rFonts w:ascii="Times New Roman" w:hAnsi="Times New Roman" w:cs="Times New Roman"/>
          <w:iCs/>
          <w:sz w:val="24"/>
        </w:rPr>
        <w:t xml:space="preserve"> </w:t>
      </w:r>
      <w:r w:rsidRPr="00800902">
        <w:rPr>
          <w:rFonts w:ascii="Times New Roman" w:hAnsi="Times New Roman" w:cs="Times New Roman"/>
          <w:iCs/>
          <w:sz w:val="24"/>
        </w:rPr>
        <w:t>at SUNY at Stony Brook, USA</w:t>
      </w:r>
      <w:r w:rsidR="008D1538">
        <w:rPr>
          <w:rFonts w:ascii="Times New Roman" w:hAnsi="Times New Roman" w:cs="Times New Roman"/>
          <w:iCs/>
          <w:sz w:val="24"/>
        </w:rPr>
        <w:t xml:space="preserve"> and he </w:t>
      </w:r>
      <w:proofErr w:type="gramStart"/>
      <w:r w:rsidR="008D1538">
        <w:rPr>
          <w:rFonts w:ascii="Times New Roman" w:hAnsi="Times New Roman" w:cs="Times New Roman"/>
          <w:iCs/>
          <w:sz w:val="24"/>
        </w:rPr>
        <w:t>Strasbourg  he</w:t>
      </w:r>
      <w:proofErr w:type="gramEnd"/>
      <w:r w:rsidR="008D1538">
        <w:rPr>
          <w:rFonts w:ascii="Times New Roman" w:hAnsi="Times New Roman" w:cs="Times New Roman"/>
          <w:iCs/>
          <w:sz w:val="24"/>
        </w:rPr>
        <w:t xml:space="preserve"> got</w:t>
      </w:r>
      <w:r w:rsidRPr="00800902">
        <w:rPr>
          <w:rFonts w:ascii="Times New Roman" w:hAnsi="Times New Roman" w:cs="Times New Roman"/>
          <w:iCs/>
          <w:sz w:val="24"/>
        </w:rPr>
        <w:t xml:space="preserve"> a CNRS Research Senior Scientist at CNRS. He was promoted CNRS research director (corresponds to full professor) in 2014, and became also</w:t>
      </w:r>
      <w:r w:rsidR="00A157D3">
        <w:rPr>
          <w:rFonts w:ascii="Times New Roman" w:hAnsi="Times New Roman" w:cs="Times New Roman"/>
          <w:iCs/>
          <w:sz w:val="24"/>
        </w:rPr>
        <w:t xml:space="preserve"> adjunct</w:t>
      </w:r>
      <w:r w:rsidRPr="00800902">
        <w:rPr>
          <w:rFonts w:ascii="Times New Roman" w:hAnsi="Times New Roman" w:cs="Times New Roman"/>
          <w:iCs/>
          <w:sz w:val="24"/>
        </w:rPr>
        <w:t xml:space="preserve"> professor at TUST in 2015.</w:t>
      </w:r>
      <w:r w:rsidR="0061038C">
        <w:rPr>
          <w:rFonts w:ascii="Times New Roman" w:hAnsi="Times New Roman" w:cs="Times New Roman"/>
          <w:iCs/>
          <w:sz w:val="24"/>
        </w:rPr>
        <w:t xml:space="preserve"> He has published more than 9</w:t>
      </w:r>
      <w:r>
        <w:rPr>
          <w:rFonts w:ascii="Times New Roman" w:hAnsi="Times New Roman" w:cs="Times New Roman"/>
          <w:iCs/>
          <w:sz w:val="24"/>
        </w:rPr>
        <w:t xml:space="preserve">0 publications and </w:t>
      </w:r>
      <w:r w:rsidRPr="00E730D9">
        <w:rPr>
          <w:rFonts w:ascii="Times New Roman" w:hAnsi="Times New Roman" w:cs="Times New Roman"/>
          <w:iCs/>
          <w:sz w:val="24"/>
        </w:rPr>
        <w:t>has been serving as an editorial board member of</w:t>
      </w:r>
      <w:r>
        <w:rPr>
          <w:rFonts w:ascii="Times New Roman" w:hAnsi="Times New Roman" w:cs="Times New Roman"/>
          <w:iCs/>
          <w:sz w:val="24"/>
        </w:rPr>
        <w:t xml:space="preserve"> </w:t>
      </w:r>
      <w:r w:rsidRPr="00553DD2">
        <w:rPr>
          <w:rFonts w:ascii="Times New Roman" w:hAnsi="Times New Roman" w:cs="Times New Roman"/>
          <w:i/>
          <w:iCs/>
          <w:sz w:val="24"/>
        </w:rPr>
        <w:t>Frontiers in Chemistry</w:t>
      </w:r>
      <w:r>
        <w:rPr>
          <w:rFonts w:ascii="Times New Roman" w:hAnsi="Times New Roman" w:cs="Times New Roman"/>
          <w:iCs/>
          <w:sz w:val="24"/>
        </w:rPr>
        <w:t xml:space="preserve">, </w:t>
      </w:r>
      <w:r w:rsidRPr="00553DD2">
        <w:rPr>
          <w:rFonts w:ascii="Times New Roman" w:hAnsi="Times New Roman" w:cs="Times New Roman"/>
          <w:i/>
          <w:iCs/>
          <w:sz w:val="24"/>
        </w:rPr>
        <w:t>Medicinal Chemistry</w:t>
      </w:r>
      <w:r w:rsidRPr="00553DD2">
        <w:rPr>
          <w:rFonts w:ascii="Times New Roman" w:hAnsi="Times New Roman" w:cs="Times New Roman"/>
          <w:iCs/>
          <w:sz w:val="24"/>
        </w:rPr>
        <w:t xml:space="preserve">, </w:t>
      </w:r>
      <w:r w:rsidR="008D1538" w:rsidRPr="008D1538">
        <w:rPr>
          <w:rFonts w:ascii="Times New Roman" w:hAnsi="Times New Roman" w:cs="Times New Roman"/>
          <w:i/>
          <w:iCs/>
          <w:sz w:val="24"/>
        </w:rPr>
        <w:t>Current Chinese Chemistry</w:t>
      </w:r>
      <w:r>
        <w:rPr>
          <w:rFonts w:ascii="Times New Roman" w:hAnsi="Times New Roman" w:cs="Times New Roman"/>
          <w:iCs/>
          <w:sz w:val="24"/>
        </w:rPr>
        <w:t xml:space="preserve"> and</w:t>
      </w:r>
      <w:r w:rsidRPr="00553DD2">
        <w:rPr>
          <w:rFonts w:ascii="Times New Roman" w:hAnsi="Times New Roman" w:cs="Times New Roman"/>
          <w:iCs/>
          <w:sz w:val="24"/>
        </w:rPr>
        <w:t xml:space="preserve"> </w:t>
      </w:r>
      <w:r w:rsidRPr="00553DD2">
        <w:rPr>
          <w:rFonts w:ascii="Times New Roman" w:hAnsi="Times New Roman" w:cs="Times New Roman"/>
          <w:i/>
          <w:iCs/>
          <w:sz w:val="24"/>
        </w:rPr>
        <w:t>The Open Medicinal Chemistry Journal</w:t>
      </w:r>
      <w:r>
        <w:rPr>
          <w:rFonts w:ascii="Times New Roman" w:hAnsi="Times New Roman" w:cs="Times New Roman"/>
          <w:iCs/>
          <w:sz w:val="24"/>
        </w:rPr>
        <w:t>.</w:t>
      </w:r>
    </w:p>
    <w:p w:rsidR="00AC3BCD" w:rsidRPr="00A41107" w:rsidRDefault="00AC3BCD" w:rsidP="00AC3BCD">
      <w:pPr>
        <w:jc w:val="both"/>
        <w:rPr>
          <w:rFonts w:eastAsia="MS PGothic"/>
          <w:b/>
          <w:color w:val="000000"/>
          <w:szCs w:val="32"/>
        </w:rPr>
      </w:pP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93CD6" w:rsidRPr="00D6382C">
        <w:rPr>
          <w:rFonts w:eastAsia="Calibri"/>
          <w:szCs w:val="22"/>
          <w:lang w:val="en-IN" w:eastAsia="en-US"/>
        </w:rPr>
        <w:t>L</w:t>
      </w:r>
      <w:r w:rsidR="00E93CD6">
        <w:rPr>
          <w:rFonts w:eastAsia="Calibri"/>
          <w:szCs w:val="22"/>
          <w:lang w:val="en-IN" w:eastAsia="en-US"/>
        </w:rPr>
        <w:t>aurent</w:t>
      </w:r>
      <w:r w:rsidR="00E93CD6" w:rsidRPr="00D6382C">
        <w:rPr>
          <w:rFonts w:eastAsia="Calibri"/>
          <w:szCs w:val="22"/>
          <w:lang w:val="en-IN" w:eastAsia="en-US"/>
        </w:rPr>
        <w:t xml:space="preserve"> Désaubry</w:t>
      </w:r>
      <w:r w:rsidRPr="008A690F">
        <w:rPr>
          <w:lang w:val="en-NZ"/>
        </w:rPr>
        <w:br/>
      </w:r>
      <w:r w:rsidR="00E93CD6">
        <w:rPr>
          <w:lang w:val="en-NZ"/>
        </w:rPr>
        <w:t>Website</w:t>
      </w:r>
      <w:r w:rsidRPr="008A690F">
        <w:rPr>
          <w:lang w:val="en-NZ"/>
        </w:rPr>
        <w:t>:</w:t>
      </w:r>
      <w:r w:rsidR="00E93CD6">
        <w:rPr>
          <w:lang w:val="en-NZ"/>
        </w:rPr>
        <w:t xml:space="preserve"> </w:t>
      </w:r>
      <w:r w:rsidR="00E93CD6" w:rsidRPr="00E93CD6">
        <w:rPr>
          <w:lang w:val="en-NZ"/>
        </w:rPr>
        <w:t>http://desaubry.u-strasbg.fr</w:t>
      </w:r>
      <w:r w:rsidRPr="008A690F">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proofErr w:type="gramStart"/>
      <w:r w:rsidR="00AC3BCD" w:rsidRPr="008A690F">
        <w:rPr>
          <w:lang w:val="en-NZ"/>
        </w:rPr>
        <w:t>:</w:t>
      </w:r>
      <w:proofErr w:type="gramEnd"/>
      <w:r w:rsidR="00AC3BCD" w:rsidRPr="008A690F">
        <w:rPr>
          <w:lang w:val="en-NZ"/>
        </w:rPr>
        <w:br/>
        <w:t>Category: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FF7" w:rsidRDefault="00E77FF7" w:rsidP="00671A59">
      <w:r>
        <w:separator/>
      </w:r>
    </w:p>
  </w:endnote>
  <w:endnote w:type="continuationSeparator" w:id="0">
    <w:p w:rsidR="00E77FF7" w:rsidRDefault="00E77FF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FF7" w:rsidRDefault="00E77FF7" w:rsidP="00671A59">
      <w:r>
        <w:separator/>
      </w:r>
    </w:p>
  </w:footnote>
  <w:footnote w:type="continuationSeparator" w:id="0">
    <w:p w:rsidR="00E77FF7" w:rsidRDefault="00E77FF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En-tte"/>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C1373"/>
    <w:rsid w:val="000E7A02"/>
    <w:rsid w:val="00101A04"/>
    <w:rsid w:val="00106952"/>
    <w:rsid w:val="001216E5"/>
    <w:rsid w:val="0013563F"/>
    <w:rsid w:val="00145878"/>
    <w:rsid w:val="001A411C"/>
    <w:rsid w:val="001B1336"/>
    <w:rsid w:val="001B6DE6"/>
    <w:rsid w:val="001F414A"/>
    <w:rsid w:val="00205354"/>
    <w:rsid w:val="00254A73"/>
    <w:rsid w:val="002659F1"/>
    <w:rsid w:val="00270EC9"/>
    <w:rsid w:val="00292DC0"/>
    <w:rsid w:val="002B18D5"/>
    <w:rsid w:val="002C0F2B"/>
    <w:rsid w:val="003753DD"/>
    <w:rsid w:val="003A4429"/>
    <w:rsid w:val="004775E3"/>
    <w:rsid w:val="0049217F"/>
    <w:rsid w:val="004A262E"/>
    <w:rsid w:val="004A2CA1"/>
    <w:rsid w:val="004B3B30"/>
    <w:rsid w:val="00505DA1"/>
    <w:rsid w:val="00514C87"/>
    <w:rsid w:val="005408D9"/>
    <w:rsid w:val="00555DAD"/>
    <w:rsid w:val="005618AD"/>
    <w:rsid w:val="005A7815"/>
    <w:rsid w:val="005B168A"/>
    <w:rsid w:val="005C2EA1"/>
    <w:rsid w:val="005C3848"/>
    <w:rsid w:val="005D43ED"/>
    <w:rsid w:val="00605142"/>
    <w:rsid w:val="0061038C"/>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C09EB"/>
    <w:rsid w:val="008D1538"/>
    <w:rsid w:val="00901E5B"/>
    <w:rsid w:val="00970E67"/>
    <w:rsid w:val="009821B4"/>
    <w:rsid w:val="009A6AD9"/>
    <w:rsid w:val="009B0CCF"/>
    <w:rsid w:val="009B7F4F"/>
    <w:rsid w:val="009D3EA4"/>
    <w:rsid w:val="009E6632"/>
    <w:rsid w:val="009E6C61"/>
    <w:rsid w:val="00A157D3"/>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6382C"/>
    <w:rsid w:val="00DA2249"/>
    <w:rsid w:val="00DA581F"/>
    <w:rsid w:val="00DC29A1"/>
    <w:rsid w:val="00DC7405"/>
    <w:rsid w:val="00DD3006"/>
    <w:rsid w:val="00DE2102"/>
    <w:rsid w:val="00E119D1"/>
    <w:rsid w:val="00E713DA"/>
    <w:rsid w:val="00E77FF7"/>
    <w:rsid w:val="00E85CF8"/>
    <w:rsid w:val="00E93CD6"/>
    <w:rsid w:val="00EB353E"/>
    <w:rsid w:val="00ED51D7"/>
    <w:rsid w:val="00EE1DF0"/>
    <w:rsid w:val="00EF236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PrformatHTML">
    <w:name w:val="HTML Preformatted"/>
    <w:basedOn w:val="Normal"/>
    <w:link w:val="PrformatHTMLCar"/>
    <w:rsid w:val="00D6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PrformatHTMLCar">
    <w:name w:val="Préformaté HTML Car"/>
    <w:basedOn w:val="Policepardfaut"/>
    <w:link w:val="PrformatHTML"/>
    <w:rsid w:val="00D6382C"/>
    <w:rPr>
      <w:rFonts w:ascii="Arial Unicode MS" w:eastAsia="Arial Unicode MS" w:hAnsi="Arial Unicode MS" w:cs="Arial Unicode MS"/>
      <w:color w:val="00000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PrformatHTML">
    <w:name w:val="HTML Preformatted"/>
    <w:basedOn w:val="Normal"/>
    <w:link w:val="PrformatHTMLCar"/>
    <w:rsid w:val="00D6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PrformatHTMLCar">
    <w:name w:val="Préformaté HTML Car"/>
    <w:basedOn w:val="Policepardfaut"/>
    <w:link w:val="PrformatHTML"/>
    <w:rsid w:val="00D6382C"/>
    <w:rPr>
      <w:rFonts w:ascii="Arial Unicode MS" w:eastAsia="Arial Unicode MS" w:hAnsi="Arial Unicode MS" w:cs="Arial Unicode MS"/>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35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30F27-2F6D-47D1-9B3C-94E1ABAE2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379</Words>
  <Characters>2164</Characters>
  <Application>Microsoft Office Word</Application>
  <DocSecurity>0</DocSecurity>
  <Lines>18</Lines>
  <Paragraphs>5</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2020-01-29T08:28:00Z</dcterms:created>
  <dcterms:modified xsi:type="dcterms:W3CDTF">2020-01-29T13:51:00Z</dcterms:modified>
</cp:coreProperties>
</file>