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8315A5" w:rsidP="00494130">
      <w:pPr>
        <w:pStyle w:val="Heading1"/>
        <w:spacing w:before="170"/>
        <w:ind w:left="0"/>
      </w:pPr>
      <w:proofErr w:type="spellStart"/>
      <w:r>
        <w:rPr>
          <w:color w:val="337AB7"/>
        </w:rPr>
        <w:t>Zeolites</w:t>
      </w:r>
      <w:proofErr w:type="spellEnd"/>
      <w:r>
        <w:rPr>
          <w:color w:val="337AB7"/>
        </w:rPr>
        <w:t>:</w:t>
      </w:r>
      <w:r w:rsidR="00A9710C">
        <w:rPr>
          <w:color w:val="337AB7"/>
        </w:rPr>
        <w:t xml:space="preserve"> </w:t>
      </w:r>
      <w:r>
        <w:rPr>
          <w:color w:val="337AB7"/>
        </w:rPr>
        <w:t>Fundamental Features and Environmental Implications.</w:t>
      </w:r>
    </w:p>
    <w:p w:rsidR="005973B9" w:rsidRDefault="008315A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gramStart"/>
      <w:r>
        <w:rPr>
          <w:rFonts w:ascii="Arial"/>
        </w:rPr>
        <w:t>Christopher J. Rhodes</w:t>
      </w:r>
      <w:r w:rsidR="007B0EBB">
        <w:rPr>
          <w:rFonts w:ascii="Arial"/>
        </w:rPr>
        <w:t xml:space="preserve">, </w:t>
      </w:r>
      <w:r>
        <w:rPr>
          <w:rFonts w:ascii="Arial"/>
        </w:rPr>
        <w:t>Fresh-lands Environmental Actions, UK.</w:t>
      </w:r>
      <w:proofErr w:type="gramEnd"/>
      <w:r w:rsidR="005973B9">
        <w:rPr>
          <w:rFonts w:ascii="Arial"/>
        </w:rPr>
        <w:t xml:space="preserve">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315A5" w:rsidRDefault="008315A5">
      <w:pPr>
        <w:pStyle w:val="Heading3"/>
        <w:spacing w:before="147"/>
        <w:jc w:val="both"/>
      </w:pPr>
    </w:p>
    <w:p w:rsidR="008315A5" w:rsidRPr="008315A5" w:rsidRDefault="008315A5" w:rsidP="008315A5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A critical over</w:t>
      </w:r>
      <w:r w:rsidRPr="008315A5">
        <w:rPr>
          <w:sz w:val="18"/>
          <w:szCs w:val="18"/>
        </w:rPr>
        <w:t xml:space="preserve">view is presented of </w:t>
      </w:r>
      <w:proofErr w:type="spellStart"/>
      <w:r w:rsidRPr="008315A5">
        <w:rPr>
          <w:sz w:val="18"/>
          <w:szCs w:val="18"/>
        </w:rPr>
        <w:t>zeolites</w:t>
      </w:r>
      <w:proofErr w:type="spellEnd"/>
      <w:r w:rsidRPr="008315A5">
        <w:rPr>
          <w:sz w:val="18"/>
          <w:szCs w:val="18"/>
        </w:rPr>
        <w:t xml:space="preserve"> and their use in practical applications. Specifically considered </w:t>
      </w:r>
      <w:proofErr w:type="gramStart"/>
      <w:r w:rsidRPr="008315A5">
        <w:rPr>
          <w:sz w:val="18"/>
          <w:szCs w:val="18"/>
        </w:rPr>
        <w:t>are their role</w:t>
      </w:r>
      <w:proofErr w:type="gramEnd"/>
      <w:r w:rsidRPr="008315A5">
        <w:rPr>
          <w:sz w:val="18"/>
          <w:szCs w:val="18"/>
        </w:rPr>
        <w:t xml:space="preserve"> as media for selective light-induced oxidations </w:t>
      </w:r>
      <w:r w:rsidR="00EB2412">
        <w:rPr>
          <w:sz w:val="18"/>
          <w:szCs w:val="18"/>
        </w:rPr>
        <w:t xml:space="preserve">of organic molecules </w:t>
      </w:r>
      <w:r w:rsidRPr="008315A5">
        <w:rPr>
          <w:sz w:val="18"/>
          <w:szCs w:val="18"/>
        </w:rPr>
        <w:t>using molecular O</w:t>
      </w:r>
      <w:r w:rsidRPr="008315A5">
        <w:rPr>
          <w:sz w:val="18"/>
          <w:szCs w:val="18"/>
          <w:vertAlign w:val="subscript"/>
        </w:rPr>
        <w:t>2</w:t>
      </w:r>
      <w:r w:rsidRPr="008315A5">
        <w:rPr>
          <w:sz w:val="18"/>
          <w:szCs w:val="18"/>
        </w:rPr>
        <w:t xml:space="preserve">, and the relationship between this phenomenon and the surface electric fields that exist in </w:t>
      </w:r>
      <w:proofErr w:type="spellStart"/>
      <w:r w:rsidRPr="008315A5">
        <w:rPr>
          <w:sz w:val="18"/>
          <w:szCs w:val="18"/>
        </w:rPr>
        <w:t>zeolites</w:t>
      </w:r>
      <w:proofErr w:type="spellEnd"/>
      <w:r w:rsidRPr="008315A5">
        <w:rPr>
          <w:sz w:val="18"/>
          <w:szCs w:val="18"/>
        </w:rPr>
        <w:t xml:space="preserve">. Methods for determining the strength of the </w:t>
      </w:r>
      <w:proofErr w:type="spellStart"/>
      <w:r w:rsidRPr="008315A5">
        <w:rPr>
          <w:sz w:val="18"/>
          <w:szCs w:val="18"/>
        </w:rPr>
        <w:t>zeolite</w:t>
      </w:r>
      <w:proofErr w:type="spellEnd"/>
      <w:r w:rsidRPr="008315A5">
        <w:rPr>
          <w:sz w:val="18"/>
          <w:szCs w:val="18"/>
        </w:rPr>
        <w:t xml:space="preserve"> surface fields are discussed, using </w:t>
      </w:r>
      <w:proofErr w:type="spellStart"/>
      <w:r w:rsidRPr="008315A5">
        <w:rPr>
          <w:sz w:val="18"/>
          <w:szCs w:val="18"/>
        </w:rPr>
        <w:t>sorbed</w:t>
      </w:r>
      <w:proofErr w:type="spellEnd"/>
      <w:r w:rsidRPr="008315A5">
        <w:rPr>
          <w:sz w:val="18"/>
          <w:szCs w:val="18"/>
        </w:rPr>
        <w:t xml:space="preserve"> molecules such as CO with IR detection, and the spin-probes, </w:t>
      </w:r>
      <w:proofErr w:type="spellStart"/>
      <w:r w:rsidRPr="008315A5">
        <w:rPr>
          <w:sz w:val="18"/>
          <w:szCs w:val="18"/>
        </w:rPr>
        <w:t>di</w:t>
      </w:r>
      <w:proofErr w:type="spellEnd"/>
      <w:r w:rsidRPr="008315A5">
        <w:rPr>
          <w:sz w:val="18"/>
          <w:szCs w:val="18"/>
        </w:rPr>
        <w:t>-</w:t>
      </w:r>
      <w:proofErr w:type="spellStart"/>
      <w:r w:rsidRPr="008315A5">
        <w:rPr>
          <w:sz w:val="18"/>
          <w:szCs w:val="18"/>
        </w:rPr>
        <w:t>tert</w:t>
      </w:r>
      <w:proofErr w:type="spellEnd"/>
      <w:r w:rsidRPr="008315A5">
        <w:rPr>
          <w:sz w:val="18"/>
          <w:szCs w:val="18"/>
        </w:rPr>
        <w:t xml:space="preserve">-butyl </w:t>
      </w:r>
      <w:proofErr w:type="spellStart"/>
      <w:r w:rsidRPr="008315A5">
        <w:rPr>
          <w:sz w:val="18"/>
          <w:szCs w:val="18"/>
        </w:rPr>
        <w:t>nitroxide</w:t>
      </w:r>
      <w:proofErr w:type="spellEnd"/>
      <w:r w:rsidRPr="008315A5">
        <w:rPr>
          <w:sz w:val="18"/>
          <w:szCs w:val="18"/>
        </w:rPr>
        <w:t xml:space="preserve"> and NO,</w:t>
      </w:r>
      <w:r>
        <w:rPr>
          <w:sz w:val="18"/>
          <w:szCs w:val="18"/>
        </w:rPr>
        <w:t xml:space="preserve"> as detected using EP</w:t>
      </w:r>
      <w:r w:rsidRPr="008315A5">
        <w:rPr>
          <w:sz w:val="18"/>
          <w:szCs w:val="18"/>
        </w:rPr>
        <w:t xml:space="preserve">R spectroscopy. The relationship between these surface fields and molecular reorientation </w:t>
      </w:r>
      <w:proofErr w:type="spellStart"/>
      <w:r w:rsidRPr="008315A5">
        <w:rPr>
          <w:sz w:val="18"/>
          <w:szCs w:val="18"/>
        </w:rPr>
        <w:t>energetics</w:t>
      </w:r>
      <w:proofErr w:type="spellEnd"/>
      <w:r w:rsidRPr="008315A5">
        <w:rPr>
          <w:sz w:val="18"/>
          <w:szCs w:val="18"/>
        </w:rPr>
        <w:t xml:space="preserve"> for </w:t>
      </w:r>
      <w:r w:rsidR="00EB2412">
        <w:rPr>
          <w:sz w:val="18"/>
          <w:szCs w:val="18"/>
        </w:rPr>
        <w:t xml:space="preserve">organic </w:t>
      </w:r>
      <w:r w:rsidRPr="008315A5">
        <w:rPr>
          <w:sz w:val="18"/>
          <w:szCs w:val="18"/>
        </w:rPr>
        <w:t xml:space="preserve">free radicals </w:t>
      </w:r>
      <w:proofErr w:type="spellStart"/>
      <w:r w:rsidRPr="008315A5">
        <w:rPr>
          <w:sz w:val="18"/>
          <w:szCs w:val="18"/>
        </w:rPr>
        <w:t>sorbed</w:t>
      </w:r>
      <w:proofErr w:type="spellEnd"/>
      <w:r w:rsidRPr="008315A5">
        <w:rPr>
          <w:sz w:val="18"/>
          <w:szCs w:val="18"/>
        </w:rPr>
        <w:t xml:space="preserve"> in </w:t>
      </w:r>
      <w:proofErr w:type="spellStart"/>
      <w:r w:rsidRPr="008315A5">
        <w:rPr>
          <w:sz w:val="18"/>
          <w:szCs w:val="18"/>
        </w:rPr>
        <w:t>zeolites</w:t>
      </w:r>
      <w:proofErr w:type="spellEnd"/>
      <w:r w:rsidRPr="008315A5">
        <w:rPr>
          <w:sz w:val="18"/>
          <w:szCs w:val="18"/>
        </w:rPr>
        <w:t xml:space="preserve">, obtained using </w:t>
      </w:r>
      <w:proofErr w:type="spellStart"/>
      <w:r w:rsidRPr="008315A5">
        <w:rPr>
          <w:sz w:val="18"/>
          <w:szCs w:val="18"/>
        </w:rPr>
        <w:t>muonium</w:t>
      </w:r>
      <w:proofErr w:type="spellEnd"/>
      <w:r w:rsidRPr="008315A5">
        <w:rPr>
          <w:sz w:val="18"/>
          <w:szCs w:val="18"/>
        </w:rPr>
        <w:t xml:space="preserve"> as a spin-label, is explored. Finally, results obtained from exposing the naturally occurring </w:t>
      </w:r>
      <w:proofErr w:type="spellStart"/>
      <w:r w:rsidRPr="008315A5">
        <w:rPr>
          <w:sz w:val="18"/>
          <w:szCs w:val="18"/>
        </w:rPr>
        <w:t>zeolite</w:t>
      </w:r>
      <w:proofErr w:type="spellEnd"/>
      <w:r w:rsidRPr="008315A5">
        <w:rPr>
          <w:sz w:val="18"/>
          <w:szCs w:val="18"/>
        </w:rPr>
        <w:t xml:space="preserve">, </w:t>
      </w:r>
      <w:proofErr w:type="spellStart"/>
      <w:r w:rsidRPr="008315A5">
        <w:rPr>
          <w:sz w:val="18"/>
          <w:szCs w:val="18"/>
        </w:rPr>
        <w:t>clinoptilolite</w:t>
      </w:r>
      <w:proofErr w:type="spellEnd"/>
      <w:r w:rsidRPr="008315A5">
        <w:rPr>
          <w:sz w:val="18"/>
          <w:szCs w:val="18"/>
        </w:rPr>
        <w:t xml:space="preserve">, to high energy electrons as a means for activating the material toward the selective removal of radioactive </w:t>
      </w:r>
      <w:proofErr w:type="spellStart"/>
      <w:r w:rsidRPr="008315A5">
        <w:rPr>
          <w:sz w:val="18"/>
          <w:szCs w:val="18"/>
        </w:rPr>
        <w:t>caesium</w:t>
      </w:r>
      <w:proofErr w:type="spellEnd"/>
      <w:r w:rsidRPr="008315A5">
        <w:rPr>
          <w:sz w:val="18"/>
          <w:szCs w:val="18"/>
        </w:rPr>
        <w:t xml:space="preserve"> and strontium </w:t>
      </w:r>
      <w:proofErr w:type="spellStart"/>
      <w:r w:rsidRPr="008315A5">
        <w:rPr>
          <w:sz w:val="18"/>
          <w:szCs w:val="18"/>
        </w:rPr>
        <w:t>cations</w:t>
      </w:r>
      <w:proofErr w:type="spellEnd"/>
      <w:r w:rsidRPr="008315A5">
        <w:rPr>
          <w:sz w:val="18"/>
          <w:szCs w:val="18"/>
        </w:rPr>
        <w:t xml:space="preserve"> from the wastewaters of nuclear power plants are presented.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  <w:r w:rsidR="00754144">
        <w:rPr>
          <w:noProof/>
          <w:color w:val="BF5A14"/>
          <w:lang w:val="en-GB" w:eastAsia="en-GB"/>
        </w:rPr>
        <w:drawing>
          <wp:inline distT="0" distB="0" distL="0" distR="0">
            <wp:extent cx="3128944" cy="2172429"/>
            <wp:effectExtent l="19050" t="0" r="0" b="0"/>
            <wp:docPr id="2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864" cy="2171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sz w:val="16"/>
        </w:rPr>
      </w:pPr>
    </w:p>
    <w:p w:rsidR="00736F9A" w:rsidRPr="00D7266B" w:rsidRDefault="00E158E7">
      <w:pPr>
        <w:pStyle w:val="BodyText"/>
        <w:spacing w:before="2"/>
        <w:rPr>
          <w:rFonts w:ascii="Arial"/>
          <w:i/>
          <w:sz w:val="16"/>
        </w:rPr>
      </w:pPr>
      <w:proofErr w:type="gramStart"/>
      <w:r w:rsidRPr="00D7266B">
        <w:rPr>
          <w:rFonts w:ascii="Arial"/>
          <w:i/>
          <w:sz w:val="16"/>
        </w:rPr>
        <w:t xml:space="preserve">Structure of </w:t>
      </w:r>
      <w:proofErr w:type="spellStart"/>
      <w:r w:rsidRPr="00D7266B">
        <w:rPr>
          <w:rFonts w:ascii="Arial"/>
          <w:i/>
          <w:sz w:val="16"/>
        </w:rPr>
        <w:t>faujasite</w:t>
      </w:r>
      <w:proofErr w:type="spellEnd"/>
      <w:r w:rsidRPr="00D7266B">
        <w:rPr>
          <w:rFonts w:ascii="Arial"/>
          <w:i/>
          <w:sz w:val="16"/>
        </w:rPr>
        <w:t xml:space="preserve"> with central </w:t>
      </w:r>
      <w:proofErr w:type="spellStart"/>
      <w:r w:rsidRPr="00D7266B">
        <w:rPr>
          <w:rFonts w:ascii="Arial"/>
          <w:i/>
          <w:sz w:val="16"/>
        </w:rPr>
        <w:t>supercage</w:t>
      </w:r>
      <w:proofErr w:type="spellEnd"/>
      <w:r w:rsidRPr="00D7266B">
        <w:rPr>
          <w:rFonts w:ascii="Arial"/>
          <w:i/>
          <w:sz w:val="16"/>
        </w:rPr>
        <w:t xml:space="preserve"> surrounded by </w:t>
      </w:r>
      <w:proofErr w:type="spellStart"/>
      <w:r w:rsidRPr="00D7266B">
        <w:rPr>
          <w:rFonts w:ascii="Arial"/>
          <w:i/>
          <w:sz w:val="16"/>
        </w:rPr>
        <w:t>sodalite</w:t>
      </w:r>
      <w:proofErr w:type="spellEnd"/>
      <w:r w:rsidRPr="00D7266B">
        <w:rPr>
          <w:rFonts w:ascii="Arial"/>
          <w:i/>
          <w:sz w:val="16"/>
        </w:rPr>
        <w:t xml:space="preserve"> cages, along with </w:t>
      </w:r>
      <w:proofErr w:type="spellStart"/>
      <w:r w:rsidRPr="00D7266B">
        <w:rPr>
          <w:rFonts w:ascii="Arial"/>
          <w:i/>
          <w:sz w:val="16"/>
        </w:rPr>
        <w:t>cation</w:t>
      </w:r>
      <w:proofErr w:type="spellEnd"/>
      <w:r w:rsidRPr="00D7266B">
        <w:rPr>
          <w:rFonts w:ascii="Arial"/>
          <w:i/>
          <w:sz w:val="16"/>
        </w:rPr>
        <w:t xml:space="preserve"> sites.</w:t>
      </w:r>
      <w:proofErr w:type="gramEnd"/>
    </w:p>
    <w:p w:rsidR="00E158E7" w:rsidRPr="00D73D4B" w:rsidRDefault="00E158E7">
      <w:pPr>
        <w:pStyle w:val="BodyText"/>
        <w:spacing w:before="2"/>
        <w:rPr>
          <w:rFonts w:ascii="Arial"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bookmarkStart w:id="0" w:name="_GoBack"/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EB2412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Rhodes C (2017</w:t>
      </w:r>
      <w:r w:rsidR="005973B9">
        <w:rPr>
          <w:sz w:val="18"/>
        </w:rPr>
        <w:t xml:space="preserve">) </w:t>
      </w:r>
      <w:r>
        <w:rPr>
          <w:sz w:val="18"/>
        </w:rPr>
        <w:t>Magnetic Resonance Spectroscopy</w:t>
      </w:r>
      <w:r w:rsidR="005973B9" w:rsidRPr="005973B9">
        <w:rPr>
          <w:sz w:val="18"/>
        </w:rPr>
        <w:t xml:space="preserve">. </w:t>
      </w:r>
      <w:r>
        <w:rPr>
          <w:sz w:val="18"/>
        </w:rPr>
        <w:t>Science Progress 100:241-292</w:t>
      </w:r>
      <w:r w:rsidR="005973B9" w:rsidRPr="005973B9">
        <w:rPr>
          <w:sz w:val="18"/>
        </w:rPr>
        <w:t>.</w:t>
      </w:r>
    </w:p>
    <w:p w:rsidR="005973B9" w:rsidRDefault="00EB2412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Rhodes C (2017</w:t>
      </w:r>
      <w:r w:rsidR="005973B9">
        <w:rPr>
          <w:sz w:val="18"/>
        </w:rPr>
        <w:t xml:space="preserve">) </w:t>
      </w:r>
      <w:proofErr w:type="gramStart"/>
      <w:r>
        <w:rPr>
          <w:sz w:val="18"/>
        </w:rPr>
        <w:t>The</w:t>
      </w:r>
      <w:proofErr w:type="gramEnd"/>
      <w:r>
        <w:rPr>
          <w:sz w:val="18"/>
        </w:rPr>
        <w:t xml:space="preserve"> Imperative for Regenerative Agriculture. Science Progress 100:80-129</w:t>
      </w:r>
      <w:r w:rsidR="005973B9">
        <w:rPr>
          <w:sz w:val="18"/>
        </w:rPr>
        <w:t>.</w:t>
      </w:r>
    </w:p>
    <w:p w:rsidR="005973B9" w:rsidRDefault="00D813D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Propac</w:t>
      </w:r>
      <w:proofErr w:type="spellEnd"/>
      <w:r>
        <w:rPr>
          <w:sz w:val="18"/>
        </w:rPr>
        <w:t xml:space="preserve"> P, </w:t>
      </w:r>
      <w:proofErr w:type="spellStart"/>
      <w:r>
        <w:rPr>
          <w:sz w:val="18"/>
        </w:rPr>
        <w:t>Jomova</w:t>
      </w:r>
      <w:proofErr w:type="spellEnd"/>
      <w:r>
        <w:rPr>
          <w:sz w:val="18"/>
        </w:rPr>
        <w:t>, K,</w:t>
      </w:r>
      <w:r w:rsidR="005973B9">
        <w:rPr>
          <w:sz w:val="18"/>
        </w:rPr>
        <w:t xml:space="preserve"> </w:t>
      </w:r>
      <w:proofErr w:type="spellStart"/>
      <w:r>
        <w:rPr>
          <w:sz w:val="18"/>
        </w:rPr>
        <w:t>Simunvova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Kollar</w:t>
      </w:r>
      <w:proofErr w:type="spellEnd"/>
      <w:r>
        <w:rPr>
          <w:sz w:val="18"/>
        </w:rPr>
        <w:t xml:space="preserve"> V, Rhodes, C, </w:t>
      </w:r>
      <w:proofErr w:type="spellStart"/>
      <w:r>
        <w:rPr>
          <w:sz w:val="18"/>
        </w:rPr>
        <w:t>Valko</w:t>
      </w:r>
      <w:proofErr w:type="spellEnd"/>
      <w:r>
        <w:rPr>
          <w:sz w:val="18"/>
        </w:rPr>
        <w:t>, M (2017</w:t>
      </w:r>
      <w:r w:rsidR="005973B9">
        <w:rPr>
          <w:sz w:val="18"/>
        </w:rPr>
        <w:t>)</w:t>
      </w:r>
      <w:bookmarkEnd w:id="0"/>
      <w:r>
        <w:rPr>
          <w:sz w:val="18"/>
        </w:rPr>
        <w:t xml:space="preserve"> Targeting free radicals in oxidative stress-related human diseases. </w:t>
      </w:r>
      <w:r w:rsidR="005973B9">
        <w:rPr>
          <w:sz w:val="18"/>
        </w:rPr>
        <w:t xml:space="preserve"> </w:t>
      </w:r>
      <w:r>
        <w:rPr>
          <w:sz w:val="18"/>
        </w:rPr>
        <w:t xml:space="preserve">Trends in </w:t>
      </w:r>
      <w:proofErr w:type="spellStart"/>
      <w:r>
        <w:rPr>
          <w:sz w:val="18"/>
        </w:rPr>
        <w:t>Pharmacol</w:t>
      </w:r>
      <w:proofErr w:type="spellEnd"/>
      <w:r>
        <w:rPr>
          <w:sz w:val="18"/>
        </w:rPr>
        <w:t>. Sci. 38:592-607</w:t>
      </w:r>
      <w:r w:rsidR="005973B9">
        <w:rPr>
          <w:sz w:val="18"/>
        </w:rPr>
        <w:t>.</w:t>
      </w:r>
    </w:p>
    <w:p w:rsidR="005973B9" w:rsidRDefault="008A3A9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Mazur M, </w:t>
      </w:r>
      <w:proofErr w:type="spellStart"/>
      <w:r>
        <w:rPr>
          <w:sz w:val="18"/>
        </w:rPr>
        <w:t>Valko</w:t>
      </w:r>
      <w:proofErr w:type="spellEnd"/>
      <w:r>
        <w:rPr>
          <w:sz w:val="18"/>
        </w:rPr>
        <w:t xml:space="preserve"> M, Rhodes C (2017</w:t>
      </w:r>
      <w:r w:rsidR="005973B9">
        <w:rPr>
          <w:sz w:val="18"/>
        </w:rPr>
        <w:t xml:space="preserve">) </w:t>
      </w:r>
      <w:r>
        <w:rPr>
          <w:sz w:val="18"/>
        </w:rPr>
        <w:t xml:space="preserve">A systematic study of the hydration and drying process of </w:t>
      </w:r>
      <w:proofErr w:type="spellStart"/>
      <w:r>
        <w:rPr>
          <w:sz w:val="18"/>
        </w:rPr>
        <w:t>xerogel</w:t>
      </w:r>
      <w:proofErr w:type="spellEnd"/>
      <w:r>
        <w:rPr>
          <w:sz w:val="18"/>
        </w:rPr>
        <w:t xml:space="preserve"> gels using Cu(II) EPR spectroscopy. J. Sol-Gel Sci. Technol. 82:855-861.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8A3A9D">
        <w:rPr>
          <w:rFonts w:ascii="Calibri" w:hAnsi="Calibri"/>
        </w:rPr>
        <w:t xml:space="preserve">  Rhodes C</w:t>
      </w:r>
      <w:r w:rsidR="008A3A9D">
        <w:rPr>
          <w:rFonts w:ascii="Calibri" w:hAnsi="Calibri"/>
          <w:spacing w:val="-5"/>
        </w:rPr>
        <w:t xml:space="preserve"> </w:t>
      </w:r>
      <w:r w:rsidR="008A3A9D">
        <w:rPr>
          <w:rFonts w:ascii="Calibri" w:hAnsi="Calibri"/>
        </w:rPr>
        <w:t>(2016</w:t>
      </w:r>
      <w:r>
        <w:rPr>
          <w:rFonts w:ascii="Calibri" w:hAnsi="Calibri"/>
        </w:rPr>
        <w:t xml:space="preserve">) </w:t>
      </w:r>
      <w:r w:rsidR="008A3A9D">
        <w:rPr>
          <w:rFonts w:ascii="Calibri" w:hAnsi="Calibri"/>
        </w:rPr>
        <w:t xml:space="preserve">Electric fields in </w:t>
      </w:r>
      <w:proofErr w:type="spellStart"/>
      <w:r w:rsidR="008A3A9D">
        <w:rPr>
          <w:rFonts w:ascii="Calibri" w:hAnsi="Calibri"/>
        </w:rPr>
        <w:t>zeolites</w:t>
      </w:r>
      <w:proofErr w:type="spellEnd"/>
      <w:r w:rsidR="008A3A9D">
        <w:rPr>
          <w:rFonts w:ascii="Calibri" w:hAnsi="Calibri"/>
        </w:rPr>
        <w:t>: fundamental features and environmental implications.</w:t>
      </w:r>
      <w:r>
        <w:rPr>
          <w:rFonts w:ascii="Calibri" w:hAnsi="Calibri"/>
          <w:spacing w:val="-4"/>
        </w:rPr>
        <w:t xml:space="preserve"> </w:t>
      </w:r>
      <w:r w:rsidR="008A3A9D">
        <w:rPr>
          <w:rFonts w:ascii="Calibri" w:hAnsi="Calibri"/>
        </w:rPr>
        <w:t>Chemical Papers 70:4-21</w:t>
      </w:r>
      <w:r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BA0D12">
      <w:pPr>
        <w:pStyle w:val="BodyText"/>
        <w:spacing w:line="40" w:lineRule="exact"/>
        <w:ind w:left="2202"/>
        <w:rPr>
          <w:rFonts w:ascii="Calibri"/>
          <w:sz w:val="4"/>
        </w:rPr>
      </w:pPr>
      <w:r w:rsidRPr="00BA0D12">
        <w:rPr>
          <w:rFonts w:ascii="Calibri"/>
          <w:noProof/>
          <w:sz w:val="4"/>
          <w:lang w:val="en-IN" w:eastAsia="en-IN"/>
        </w:rPr>
      </w:r>
      <w:r w:rsidRPr="00BA0D12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>
            <wp:extent cx="630069" cy="472551"/>
            <wp:effectExtent l="1905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47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266B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4A61B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Professor </w:t>
      </w:r>
      <w:r w:rsidR="008315A5">
        <w:rPr>
          <w:rFonts w:ascii="Arial"/>
          <w:sz w:val="14"/>
        </w:rPr>
        <w:t>Chris Rhodes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Director of Fresh-lands Environmental Actions. He has catholic scientific interests which cover radiation chemistry, catalysis, </w:t>
      </w:r>
      <w:proofErr w:type="spellStart"/>
      <w:r>
        <w:rPr>
          <w:rFonts w:ascii="Arial"/>
          <w:sz w:val="14"/>
        </w:rPr>
        <w:t>zeolites</w:t>
      </w:r>
      <w:proofErr w:type="spellEnd"/>
      <w:r>
        <w:rPr>
          <w:rFonts w:ascii="Arial"/>
          <w:sz w:val="14"/>
        </w:rPr>
        <w:t xml:space="preserve">, radioisotopes, free radicals </w:t>
      </w:r>
      <w:r w:rsidR="00EB2412">
        <w:rPr>
          <w:rFonts w:ascii="Arial"/>
          <w:sz w:val="14"/>
        </w:rPr>
        <w:t xml:space="preserve">in biology and medicine, </w:t>
      </w:r>
      <w:r>
        <w:rPr>
          <w:rFonts w:ascii="Arial"/>
          <w:sz w:val="14"/>
        </w:rPr>
        <w:t xml:space="preserve">and electron paramagnetic resonance spectroscopy, and more recently have developed into aspects of environmental decontamination and low-carbon energy production. Chris has given numerous </w:t>
      </w:r>
      <w:proofErr w:type="gramStart"/>
      <w:r>
        <w:rPr>
          <w:rFonts w:ascii="Arial"/>
          <w:sz w:val="14"/>
        </w:rPr>
        <w:t>radio</w:t>
      </w:r>
      <w:proofErr w:type="gramEnd"/>
      <w:r>
        <w:rPr>
          <w:rFonts w:ascii="Arial"/>
          <w:sz w:val="14"/>
        </w:rPr>
        <w:t xml:space="preserve"> and televised interviews concerning environmental issues, both in Europe and in the United States, including on BBC Radio 4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Material World. He has published more than 230 peer-reviewed scientific articles,</w:t>
      </w:r>
      <w:r w:rsidR="00EB2412">
        <w:rPr>
          <w:rFonts w:ascii="Arial"/>
          <w:sz w:val="14"/>
        </w:rPr>
        <w:t xml:space="preserve"> and six</w:t>
      </w:r>
      <w:r>
        <w:rPr>
          <w:rFonts w:ascii="Arial"/>
          <w:sz w:val="14"/>
        </w:rPr>
        <w:t xml:space="preserve"> books. He is also a published novelist, journalist and poet. His novel </w:t>
      </w:r>
      <w:r>
        <w:rPr>
          <w:rFonts w:ascii="Arial"/>
          <w:sz w:val="14"/>
        </w:rPr>
        <w:t>“</w:t>
      </w:r>
      <w:r>
        <w:rPr>
          <w:rFonts w:ascii="Arial"/>
          <w:sz w:val="14"/>
        </w:rPr>
        <w:t>University Shambles</w:t>
      </w:r>
      <w:r>
        <w:rPr>
          <w:rFonts w:ascii="Arial"/>
          <w:sz w:val="14"/>
        </w:rPr>
        <w:t>”</w:t>
      </w:r>
      <w:r>
        <w:rPr>
          <w:rFonts w:ascii="Arial"/>
          <w:sz w:val="14"/>
        </w:rPr>
        <w:t xml:space="preserve"> is available in both print and e-book versions, and was nominated for a Brit Writers Award: Published Writer of the Year.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315A5" w:rsidRPr="00DA0344">
          <w:rPr>
            <w:rStyle w:val="Hyperlink"/>
            <w:rFonts w:ascii="Arial"/>
            <w:sz w:val="14"/>
          </w:rPr>
          <w:t>cjrhodes@fresh-lands.com</w:t>
        </w:r>
      </w:hyperlink>
    </w:p>
    <w:p w:rsidR="00AE3E37" w:rsidRDefault="00BA0D12">
      <w:pPr>
        <w:pStyle w:val="BodyText"/>
        <w:spacing w:before="2"/>
        <w:rPr>
          <w:rFonts w:ascii="Arial"/>
          <w:sz w:val="19"/>
        </w:rPr>
      </w:pPr>
      <w:r w:rsidRPr="00BA0D12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ADD" w:rsidRDefault="007F0ADD">
      <w:r>
        <w:separator/>
      </w:r>
    </w:p>
  </w:endnote>
  <w:endnote w:type="continuationSeparator" w:id="0">
    <w:p w:rsidR="007F0ADD" w:rsidRDefault="007F0A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A0D12">
    <w:pPr>
      <w:pStyle w:val="BodyText"/>
      <w:spacing w:line="14" w:lineRule="auto"/>
      <w:rPr>
        <w:sz w:val="20"/>
      </w:rPr>
    </w:pPr>
    <w:r w:rsidRPr="00BA0D1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BA0D12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BA0D12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ADD" w:rsidRDefault="007F0ADD">
      <w:r>
        <w:separator/>
      </w:r>
    </w:p>
  </w:footnote>
  <w:footnote w:type="continuationSeparator" w:id="0">
    <w:p w:rsidR="007F0ADD" w:rsidRDefault="007F0A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A0D12">
    <w:pPr>
      <w:pStyle w:val="BodyText"/>
      <w:spacing w:line="14" w:lineRule="auto"/>
      <w:rPr>
        <w:sz w:val="20"/>
      </w:rPr>
    </w:pPr>
    <w:r w:rsidRPr="00BA0D1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BA0D12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7A73"/>
    <w:rsid w:val="000E2911"/>
    <w:rsid w:val="001263DF"/>
    <w:rsid w:val="001C2A55"/>
    <w:rsid w:val="001D33D8"/>
    <w:rsid w:val="00292ED9"/>
    <w:rsid w:val="002D28D3"/>
    <w:rsid w:val="003D6E29"/>
    <w:rsid w:val="00404E5B"/>
    <w:rsid w:val="00414F7B"/>
    <w:rsid w:val="004355DC"/>
    <w:rsid w:val="004749B4"/>
    <w:rsid w:val="00475172"/>
    <w:rsid w:val="00494130"/>
    <w:rsid w:val="004A61BB"/>
    <w:rsid w:val="004F18B7"/>
    <w:rsid w:val="004F3523"/>
    <w:rsid w:val="00572DCD"/>
    <w:rsid w:val="005973B9"/>
    <w:rsid w:val="005B3A56"/>
    <w:rsid w:val="005E0768"/>
    <w:rsid w:val="006060CE"/>
    <w:rsid w:val="00616C38"/>
    <w:rsid w:val="00622A45"/>
    <w:rsid w:val="0063497F"/>
    <w:rsid w:val="00640A78"/>
    <w:rsid w:val="00647758"/>
    <w:rsid w:val="006A2842"/>
    <w:rsid w:val="006B42FF"/>
    <w:rsid w:val="006B651E"/>
    <w:rsid w:val="00736F9A"/>
    <w:rsid w:val="00750697"/>
    <w:rsid w:val="00754144"/>
    <w:rsid w:val="007B0EBB"/>
    <w:rsid w:val="007C4F5F"/>
    <w:rsid w:val="007E0827"/>
    <w:rsid w:val="007F0ADD"/>
    <w:rsid w:val="008315A5"/>
    <w:rsid w:val="00873DF0"/>
    <w:rsid w:val="008756E6"/>
    <w:rsid w:val="008A3A9D"/>
    <w:rsid w:val="008C3278"/>
    <w:rsid w:val="00911E4B"/>
    <w:rsid w:val="0092133E"/>
    <w:rsid w:val="00927666"/>
    <w:rsid w:val="009B2D44"/>
    <w:rsid w:val="00A07E82"/>
    <w:rsid w:val="00A63D8A"/>
    <w:rsid w:val="00A9710C"/>
    <w:rsid w:val="00AE074B"/>
    <w:rsid w:val="00AE3E37"/>
    <w:rsid w:val="00B21A57"/>
    <w:rsid w:val="00BA0D12"/>
    <w:rsid w:val="00C1565B"/>
    <w:rsid w:val="00C2673F"/>
    <w:rsid w:val="00C33602"/>
    <w:rsid w:val="00C4222C"/>
    <w:rsid w:val="00CD6F55"/>
    <w:rsid w:val="00D7266B"/>
    <w:rsid w:val="00D73D4B"/>
    <w:rsid w:val="00D813D9"/>
    <w:rsid w:val="00DE3104"/>
    <w:rsid w:val="00DF1FC1"/>
    <w:rsid w:val="00E158E7"/>
    <w:rsid w:val="00E65373"/>
    <w:rsid w:val="00EA7336"/>
    <w:rsid w:val="00EB2412"/>
    <w:rsid w:val="00F53D16"/>
    <w:rsid w:val="00F72EEA"/>
    <w:rsid w:val="00F84CAE"/>
    <w:rsid w:val="00FE789B"/>
    <w:rsid w:val="00FF3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jrhodes@fresh-lands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Chris Rhodes</cp:lastModifiedBy>
  <cp:revision>7</cp:revision>
  <dcterms:created xsi:type="dcterms:W3CDTF">2017-12-29T14:43:00Z</dcterms:created>
  <dcterms:modified xsi:type="dcterms:W3CDTF">2017-12-29T14:48:00Z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