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E3E37" w:rsidRDefault="009F5BBC" w:rsidP="00AD79ED">
      <w:pPr>
        <w:pStyle w:val="a3"/>
        <w:ind w:left="90" w:hangingChars="50" w:hanging="90"/>
      </w:pPr>
      <w:r w:rsidRPr="00B52A1B">
        <w:t>(</w:t>
      </w:r>
      <w:r w:rsidRPr="001416A1">
        <w:rPr>
          <w:i/>
        </w:rPr>
        <w:t>E</w:t>
      </w:r>
      <w:r w:rsidRPr="00B52A1B">
        <w:t>)- and (</w:t>
      </w:r>
      <w:r w:rsidRPr="001416A1">
        <w:rPr>
          <w:i/>
        </w:rPr>
        <w:t>Z</w:t>
      </w:r>
      <w:r w:rsidR="00AD79ED">
        <w:t>)-</w:t>
      </w:r>
      <w:r w:rsidR="00121339">
        <w:t>S</w:t>
      </w:r>
      <w:r w:rsidRPr="00B52A1B">
        <w:t xml:space="preserve">tereodefined </w:t>
      </w:r>
      <w:r w:rsidR="00AD79ED">
        <w:t>p</w:t>
      </w:r>
      <w:r w:rsidRPr="00B52A1B">
        <w:t xml:space="preserve">arallel </w:t>
      </w:r>
      <w:r w:rsidR="00AD79ED">
        <w:t xml:space="preserve">syntheses of multi-substituted </w:t>
      </w:r>
      <w:proofErr w:type="gramStart"/>
      <w:r w:rsidR="00121339" w:rsidRPr="005C1EAF">
        <w:rPr>
          <w:rFonts w:ascii="Calibri" w:hAnsi="Calibri" w:cs="Calibri"/>
        </w:rPr>
        <w:t>α</w:t>
      </w:r>
      <w:r w:rsidR="00121339" w:rsidRPr="005C1EAF">
        <w:rPr>
          <w:rFonts w:cs="Times New Roman"/>
        </w:rPr>
        <w:t>,</w:t>
      </w:r>
      <w:r w:rsidR="00121339" w:rsidRPr="005C1EAF">
        <w:rPr>
          <w:rFonts w:ascii="Calibri" w:hAnsi="Calibri" w:cs="Calibri"/>
        </w:rPr>
        <w:t>β</w:t>
      </w:r>
      <w:proofErr w:type="gramEnd"/>
      <w:r w:rsidR="00121339" w:rsidRPr="005C1EAF">
        <w:rPr>
          <w:rFonts w:cs="Times New Roman"/>
        </w:rPr>
        <w:t>-unsaturated esters</w:t>
      </w:r>
      <w:r w:rsidRPr="00B52A1B">
        <w:t xml:space="preserve">: Application to </w:t>
      </w:r>
      <w:r w:rsidR="00AD79ED">
        <w:t>short step synthes</w:t>
      </w:r>
      <w:r w:rsidR="004F58FC">
        <w:t>e</w:t>
      </w:r>
      <w:r w:rsidR="00AD79ED">
        <w:t>s of b</w:t>
      </w:r>
      <w:r w:rsidRPr="00B52A1B">
        <w:t>oth (</w:t>
      </w:r>
      <w:r w:rsidRPr="00B52A1B">
        <w:rPr>
          <w:i/>
        </w:rPr>
        <w:t>E</w:t>
      </w:r>
      <w:r w:rsidRPr="00B52A1B">
        <w:t>)- and (</w:t>
      </w:r>
      <w:r w:rsidRPr="00B52A1B">
        <w:rPr>
          <w:i/>
        </w:rPr>
        <w:t>Z</w:t>
      </w:r>
      <w:r w:rsidRPr="00B52A1B">
        <w:t>)-</w:t>
      </w:r>
      <w:r w:rsidR="00AD79ED" w:rsidRPr="00AD79ED">
        <w:rPr>
          <w:rFonts w:cs="Times New Roman"/>
        </w:rPr>
        <w:t xml:space="preserve"> </w:t>
      </w:r>
      <w:r w:rsidR="00AD79ED" w:rsidRPr="005C1EAF">
        <w:rPr>
          <w:rFonts w:cs="Times New Roman"/>
        </w:rPr>
        <w:t>Z</w:t>
      </w:r>
      <w:proofErr w:type="spellStart"/>
      <w:r w:rsidR="00AD79ED" w:rsidRPr="005C1EAF">
        <w:rPr>
          <w:rFonts w:cs="Times New Roman"/>
          <w:bCs/>
          <w:lang w:val="en"/>
        </w:rPr>
        <w:t>imelidines</w:t>
      </w:r>
      <w:proofErr w:type="spellEnd"/>
      <w:r w:rsidR="00AD79ED" w:rsidRPr="00B52A1B">
        <w:t xml:space="preserve"> </w:t>
      </w:r>
      <w:r w:rsidR="00AD79ED">
        <w:t xml:space="preserve">and </w:t>
      </w:r>
      <w:proofErr w:type="spellStart"/>
      <w:r w:rsidRPr="00B52A1B">
        <w:t>Tamoxifens</w:t>
      </w:r>
      <w:proofErr w:type="spellEnd"/>
      <w:r w:rsidR="00A9710C">
        <w:t xml:space="preserve"> </w:t>
      </w:r>
    </w:p>
    <w:p w:rsidR="009131AE" w:rsidRDefault="009131AE" w:rsidP="005973B9">
      <w:pPr>
        <w:pStyle w:val="a3"/>
        <w:spacing w:before="73" w:line="198" w:lineRule="exact"/>
        <w:ind w:left="100" w:right="5987"/>
        <w:rPr>
          <w:rFonts w:ascii="Arial"/>
        </w:rPr>
      </w:pPr>
      <w:proofErr w:type="spellStart"/>
      <w:r>
        <w:rPr>
          <w:rFonts w:ascii="Arial"/>
        </w:rPr>
        <w:t>Hidefumi</w:t>
      </w:r>
      <w:proofErr w:type="spellEnd"/>
      <w:r>
        <w:rPr>
          <w:rFonts w:ascii="Arial"/>
        </w:rPr>
        <w:t xml:space="preserve"> </w:t>
      </w:r>
      <w:proofErr w:type="spellStart"/>
      <w:r>
        <w:rPr>
          <w:rFonts w:ascii="Arial"/>
        </w:rPr>
        <w:t>Nakatsuji</w:t>
      </w:r>
      <w:proofErr w:type="spellEnd"/>
      <w:r>
        <w:rPr>
          <w:rFonts w:ascii="Arial"/>
        </w:rPr>
        <w:t xml:space="preserve">, </w:t>
      </w:r>
      <w:r w:rsidR="00322B56">
        <w:rPr>
          <w:rFonts w:ascii="Arial"/>
        </w:rPr>
        <w:t>As</w:t>
      </w:r>
      <w:r w:rsidR="00322B56">
        <w:rPr>
          <w:rFonts w:ascii="Arial" w:eastAsiaTheme="minorEastAsia"/>
          <w:lang w:eastAsia="ja-JP"/>
        </w:rPr>
        <w:t>sistant</w:t>
      </w:r>
      <w:r w:rsidRPr="009131AE">
        <w:rPr>
          <w:rFonts w:ascii="Arial"/>
        </w:rPr>
        <w:t xml:space="preserve"> Professor</w:t>
      </w:r>
      <w:r w:rsidR="005973B9">
        <w:rPr>
          <w:rFonts w:ascii="Arial"/>
        </w:rPr>
        <w:t xml:space="preserve">, </w:t>
      </w:r>
      <w:r>
        <w:rPr>
          <w:rFonts w:ascii="Arial"/>
        </w:rPr>
        <w:t>Kwansei Gakuen Univ.</w:t>
      </w:r>
      <w:r w:rsidR="005973B9">
        <w:rPr>
          <w:rFonts w:ascii="Arial"/>
        </w:rPr>
        <w:t xml:space="preserve">, </w:t>
      </w:r>
      <w:r>
        <w:rPr>
          <w:rFonts w:ascii="Arial"/>
        </w:rPr>
        <w:t>JAPAN</w:t>
      </w:r>
      <w:r w:rsidR="005973B9">
        <w:rPr>
          <w:rFonts w:ascii="Arial"/>
        </w:rPr>
        <w:t xml:space="preserve"> </w:t>
      </w:r>
    </w:p>
    <w:p w:rsidR="009131AE" w:rsidRDefault="009131AE" w:rsidP="005973B9">
      <w:pPr>
        <w:pStyle w:val="a3"/>
        <w:spacing w:before="73" w:line="198" w:lineRule="exact"/>
        <w:ind w:left="100" w:right="5987"/>
        <w:rPr>
          <w:rFonts w:ascii="Arial"/>
        </w:rPr>
      </w:pPr>
      <w:r>
        <w:rPr>
          <w:rFonts w:ascii="Arial"/>
        </w:rPr>
        <w:t xml:space="preserve">Yoo Tanabe, </w:t>
      </w:r>
      <w:r w:rsidRPr="009131AE">
        <w:rPr>
          <w:rFonts w:ascii="Arial"/>
        </w:rPr>
        <w:t>Professor</w:t>
      </w:r>
      <w:r>
        <w:rPr>
          <w:rFonts w:ascii="Arial"/>
        </w:rPr>
        <w:t>, Kwansei Gakuen Univ., JAPAN</w:t>
      </w:r>
    </w:p>
    <w:p w:rsidR="009131AE" w:rsidRDefault="009131AE" w:rsidP="005973B9">
      <w:pPr>
        <w:pStyle w:val="a3"/>
        <w:spacing w:before="73" w:line="198" w:lineRule="exact"/>
        <w:ind w:left="100" w:right="5987"/>
        <w:rPr>
          <w:rFonts w:ascii="Arial"/>
        </w:rPr>
      </w:pPr>
    </w:p>
    <w:p w:rsidR="00AE3E37" w:rsidRDefault="00AE3E37">
      <w:pPr>
        <w:rPr>
          <w:rFonts w:ascii="Arial"/>
          <w:sz w:val="21"/>
        </w:rPr>
        <w:sectPr w:rsidR="00AE3E37">
          <w:headerReference w:type="default" r:id="rId8"/>
          <w:footerReference w:type="default" r:id="rId9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:rsidR="00AE3E37" w:rsidRDefault="00A9710C">
      <w:pPr>
        <w:pStyle w:val="3"/>
        <w:spacing w:before="147"/>
        <w:jc w:val="both"/>
      </w:pPr>
      <w:r>
        <w:rPr>
          <w:color w:val="BF5A14"/>
        </w:rPr>
        <w:t>Abstract</w:t>
      </w:r>
      <w:r w:rsidR="00404E5B">
        <w:rPr>
          <w:color w:val="BF5A14"/>
        </w:rPr>
        <w:t xml:space="preserve"> (</w:t>
      </w:r>
      <w:proofErr w:type="gramStart"/>
      <w:r w:rsidR="00404E5B">
        <w:rPr>
          <w:color w:val="BF5A14"/>
        </w:rPr>
        <w:t>300 word</w:t>
      </w:r>
      <w:proofErr w:type="gramEnd"/>
      <w:r w:rsidR="00404E5B">
        <w:rPr>
          <w:color w:val="BF5A14"/>
        </w:rPr>
        <w:t xml:space="preserve"> limit)</w:t>
      </w:r>
    </w:p>
    <w:p w:rsidR="00032909" w:rsidRPr="005C1EAF" w:rsidRDefault="00032909" w:rsidP="0045662A">
      <w:pPr>
        <w:pStyle w:val="a3"/>
        <w:spacing w:before="90" w:line="280" w:lineRule="auto"/>
        <w:ind w:left="100" w:firstLineChars="100" w:firstLine="180"/>
        <w:jc w:val="both"/>
        <w:rPr>
          <w:rFonts w:cs="Times New Roman"/>
        </w:rPr>
      </w:pPr>
      <w:r w:rsidRPr="005C1EAF">
        <w:rPr>
          <w:rFonts w:cs="Times New Roman"/>
          <w:color w:val="000000" w:themeColor="text1"/>
        </w:rPr>
        <w:t>The s</w:t>
      </w:r>
      <w:r w:rsidRPr="005C1EAF">
        <w:rPr>
          <w:rFonts w:cs="Times New Roman"/>
        </w:rPr>
        <w:t>tereocontrolled preparation of ubiquitous (</w:t>
      </w:r>
      <w:r w:rsidRPr="005C1EAF">
        <w:rPr>
          <w:rFonts w:cs="Times New Roman"/>
          <w:i/>
        </w:rPr>
        <w:t>E</w:t>
      </w:r>
      <w:r w:rsidRPr="005C1EAF">
        <w:rPr>
          <w:rFonts w:cs="Times New Roman"/>
        </w:rPr>
        <w:t>)- and (</w:t>
      </w:r>
      <w:r w:rsidRPr="005C1EAF">
        <w:rPr>
          <w:rFonts w:cs="Times New Roman"/>
          <w:i/>
        </w:rPr>
        <w:t>Z</w:t>
      </w:r>
      <w:r w:rsidRPr="005C1EAF">
        <w:rPr>
          <w:rFonts w:cs="Times New Roman"/>
        </w:rPr>
        <w:t>)-</w:t>
      </w:r>
      <w:proofErr w:type="gramStart"/>
      <w:r w:rsidR="00EE4244" w:rsidRPr="005C1EAF">
        <w:rPr>
          <w:rFonts w:ascii="Calibri" w:hAnsi="Calibri" w:cs="Calibri"/>
        </w:rPr>
        <w:t>α</w:t>
      </w:r>
      <w:r w:rsidRPr="005C1EAF">
        <w:rPr>
          <w:rFonts w:cs="Times New Roman"/>
        </w:rPr>
        <w:t>,</w:t>
      </w:r>
      <w:r w:rsidR="00EE4244" w:rsidRPr="005C1EAF">
        <w:rPr>
          <w:rFonts w:ascii="Calibri" w:hAnsi="Calibri" w:cs="Calibri"/>
        </w:rPr>
        <w:t>β</w:t>
      </w:r>
      <w:proofErr w:type="gramEnd"/>
      <w:r w:rsidRPr="005C1EAF">
        <w:rPr>
          <w:rFonts w:cs="Times New Roman"/>
        </w:rPr>
        <w:t xml:space="preserve">-unsaturated esters </w:t>
      </w:r>
      <w:r w:rsidRPr="005C1EAF">
        <w:rPr>
          <w:rFonts w:cs="Times New Roman"/>
          <w:b/>
        </w:rPr>
        <w:t>1</w:t>
      </w:r>
      <w:r w:rsidRPr="005C1EAF">
        <w:rPr>
          <w:rFonts w:cs="Times New Roman"/>
        </w:rPr>
        <w:t xml:space="preserve"> is pivotal in organic synthes</w:t>
      </w:r>
      <w:r w:rsidR="002109D3">
        <w:rPr>
          <w:rFonts w:cs="Times New Roman"/>
          <w:color w:val="000000" w:themeColor="text1"/>
        </w:rPr>
        <w:t>es,</w:t>
      </w:r>
      <w:r w:rsidRPr="005C1EAF">
        <w:rPr>
          <w:rFonts w:cs="Times New Roman"/>
          <w:color w:val="000000" w:themeColor="text1"/>
        </w:rPr>
        <w:t xml:space="preserve"> </w:t>
      </w:r>
      <w:r w:rsidR="002109D3" w:rsidRPr="00220E75">
        <w:rPr>
          <w:rFonts w:cs="Arial"/>
          <w:szCs w:val="17"/>
        </w:rPr>
        <w:t xml:space="preserve">because </w:t>
      </w:r>
      <w:r w:rsidR="002109D3">
        <w:rPr>
          <w:rFonts w:cs="Arial"/>
          <w:szCs w:val="17"/>
        </w:rPr>
        <w:t xml:space="preserve">of their wide distribution </w:t>
      </w:r>
      <w:r w:rsidR="002109D3" w:rsidRPr="00220E75">
        <w:rPr>
          <w:rFonts w:cs="Arial"/>
          <w:szCs w:val="17"/>
        </w:rPr>
        <w:t xml:space="preserve">in natural products, pharmaceuticals, and </w:t>
      </w:r>
      <w:proofErr w:type="spellStart"/>
      <w:r w:rsidR="002109D3" w:rsidRPr="00220E75">
        <w:rPr>
          <w:rFonts w:cs="Arial"/>
          <w:szCs w:val="17"/>
        </w:rPr>
        <w:t>supramolecules</w:t>
      </w:r>
      <w:proofErr w:type="spellEnd"/>
      <w:r w:rsidR="002109D3" w:rsidRPr="00220E75">
        <w:rPr>
          <w:rFonts w:cs="Arial"/>
          <w:szCs w:val="17"/>
        </w:rPr>
        <w:t xml:space="preserve"> as key structural building blocks.</w:t>
      </w:r>
      <w:r w:rsidR="002E12AD" w:rsidRPr="005C1EAF">
        <w:rPr>
          <w:rFonts w:cs="Times New Roman"/>
          <w:color w:val="000000" w:themeColor="text1"/>
        </w:rPr>
        <w:t xml:space="preserve">  </w:t>
      </w:r>
      <w:r w:rsidRPr="005C1EAF">
        <w:rPr>
          <w:rFonts w:cs="Times New Roman"/>
          <w:color w:val="000000" w:themeColor="text1"/>
        </w:rPr>
        <w:t xml:space="preserve">Consistent with our continued interest in finding a methodology directed </w:t>
      </w:r>
      <w:r w:rsidR="00322B56">
        <w:rPr>
          <w:rFonts w:cs="Times New Roman"/>
          <w:color w:val="000000" w:themeColor="text1"/>
        </w:rPr>
        <w:t xml:space="preserve">towards </w:t>
      </w:r>
      <w:r w:rsidR="00121339" w:rsidRPr="00121339">
        <w:rPr>
          <w:rFonts w:cs="Times New Roman"/>
          <w:color w:val="000000" w:themeColor="text1"/>
        </w:rPr>
        <w:t>natural product synthesis and process chemistry</w:t>
      </w:r>
      <w:r w:rsidRPr="00121339">
        <w:rPr>
          <w:rFonts w:cs="Times New Roman"/>
          <w:color w:val="000000" w:themeColor="text1"/>
        </w:rPr>
        <w:t>,</w:t>
      </w:r>
      <w:r w:rsidRPr="005C1EAF">
        <w:rPr>
          <w:rFonts w:cs="Times New Roman"/>
          <w:color w:val="000000" w:themeColor="text1"/>
        </w:rPr>
        <w:t xml:space="preserve"> </w:t>
      </w:r>
      <w:r w:rsidRPr="005C1EAF">
        <w:rPr>
          <w:rFonts w:cs="Times New Roman"/>
        </w:rPr>
        <w:t>we</w:t>
      </w:r>
      <w:r w:rsidRPr="005C1EAF">
        <w:rPr>
          <w:rFonts w:cs="Times New Roman"/>
          <w:color w:val="000000" w:themeColor="text1"/>
        </w:rPr>
        <w:t xml:space="preserve"> have d</w:t>
      </w:r>
      <w:r w:rsidRPr="005C1EAF">
        <w:rPr>
          <w:rFonts w:cs="Times New Roman"/>
        </w:rPr>
        <w:t xml:space="preserve">eveloped parallel and practical methods for the </w:t>
      </w:r>
      <w:r w:rsidRPr="005C1EAF">
        <w:rPr>
          <w:rFonts w:cs="Times New Roman"/>
          <w:color w:val="000000" w:themeColor="text1"/>
        </w:rPr>
        <w:t xml:space="preserve">stereocomplementary </w:t>
      </w:r>
      <w:r w:rsidRPr="005C1EAF">
        <w:rPr>
          <w:rFonts w:cs="Times New Roman"/>
        </w:rPr>
        <w:t>preparation of both of “multi”-substituted (</w:t>
      </w:r>
      <w:r w:rsidRPr="005C1EAF">
        <w:rPr>
          <w:rFonts w:cs="Times New Roman"/>
          <w:i/>
        </w:rPr>
        <w:t>E</w:t>
      </w:r>
      <w:r w:rsidRPr="005C1EAF">
        <w:rPr>
          <w:rFonts w:cs="Times New Roman"/>
        </w:rPr>
        <w:t>)- and (</w:t>
      </w:r>
      <w:r w:rsidRPr="005C1EAF">
        <w:rPr>
          <w:rFonts w:cs="Times New Roman"/>
          <w:i/>
        </w:rPr>
        <w:t>Z</w:t>
      </w:r>
      <w:r w:rsidRPr="005C1EAF">
        <w:rPr>
          <w:rFonts w:cs="Times New Roman"/>
        </w:rPr>
        <w:t>)-</w:t>
      </w:r>
      <w:r w:rsidRPr="005C1EAF">
        <w:rPr>
          <w:rFonts w:cs="Times New Roman"/>
          <w:b/>
          <w:color w:val="000000" w:themeColor="text1"/>
        </w:rPr>
        <w:t>1</w:t>
      </w:r>
      <w:r w:rsidRPr="005C1EAF">
        <w:rPr>
          <w:rFonts w:cs="Times New Roman"/>
        </w:rPr>
        <w:t xml:space="preserve"> from readily available </w:t>
      </w:r>
      <w:r w:rsidR="00EE4244" w:rsidRPr="005C1EAF">
        <w:rPr>
          <w:rFonts w:ascii="Calibri" w:eastAsiaTheme="minorEastAsia" w:hAnsi="Calibri" w:cs="Calibri"/>
          <w:lang w:eastAsia="ja-JP"/>
        </w:rPr>
        <w:t>β</w:t>
      </w:r>
      <w:r w:rsidRPr="005C1EAF">
        <w:rPr>
          <w:rFonts w:cs="Times New Roman"/>
        </w:rPr>
        <w:t>-</w:t>
      </w:r>
      <w:proofErr w:type="spellStart"/>
      <w:r w:rsidRPr="005C1EAF">
        <w:rPr>
          <w:rFonts w:cs="Times New Roman"/>
        </w:rPr>
        <w:t>oxoesters</w:t>
      </w:r>
      <w:proofErr w:type="spellEnd"/>
      <w:r w:rsidRPr="005C1EAF">
        <w:rPr>
          <w:rFonts w:cs="Times New Roman"/>
        </w:rPr>
        <w:t xml:space="preserve"> </w:t>
      </w:r>
      <w:r w:rsidRPr="005C1EAF">
        <w:rPr>
          <w:rFonts w:cs="Times New Roman"/>
          <w:b/>
        </w:rPr>
        <w:t>2</w:t>
      </w:r>
      <w:r w:rsidRPr="005C1EAF">
        <w:rPr>
          <w:rFonts w:cs="Times New Roman"/>
        </w:rPr>
        <w:t xml:space="preserve"> and </w:t>
      </w:r>
      <w:r w:rsidRPr="005C1EAF">
        <w:rPr>
          <w:rFonts w:cs="Times New Roman"/>
          <w:b/>
        </w:rPr>
        <w:t>2’</w:t>
      </w:r>
      <w:r w:rsidRPr="005C1EAF">
        <w:rPr>
          <w:rFonts w:cs="Times New Roman"/>
        </w:rPr>
        <w:t>.</w:t>
      </w:r>
      <w:r w:rsidRPr="005C1EAF">
        <w:rPr>
          <w:rFonts w:cs="Times New Roman"/>
          <w:b/>
        </w:rPr>
        <w:t xml:space="preserve">  </w:t>
      </w:r>
      <w:r w:rsidRPr="005C1EAF">
        <w:rPr>
          <w:rFonts w:cs="Times New Roman"/>
        </w:rPr>
        <w:t>The present protocol is composed of sequential (</w:t>
      </w:r>
      <w:r w:rsidRPr="005C1EAF">
        <w:rPr>
          <w:rFonts w:cs="Times New Roman"/>
          <w:i/>
        </w:rPr>
        <w:t>E</w:t>
      </w:r>
      <w:r w:rsidRPr="005C1EAF">
        <w:rPr>
          <w:rFonts w:cs="Times New Roman"/>
        </w:rPr>
        <w:t>)- and (</w:t>
      </w:r>
      <w:r w:rsidRPr="005C1EAF">
        <w:rPr>
          <w:rFonts w:cs="Times New Roman"/>
          <w:i/>
        </w:rPr>
        <w:t>Z</w:t>
      </w:r>
      <w:r w:rsidRPr="005C1EAF">
        <w:rPr>
          <w:rFonts w:cs="Times New Roman"/>
        </w:rPr>
        <w:t>)-</w:t>
      </w:r>
      <w:r w:rsidRPr="005C1EAF">
        <w:rPr>
          <w:rFonts w:cs="Times New Roman"/>
          <w:color w:val="000000" w:themeColor="text1"/>
        </w:rPr>
        <w:t xml:space="preserve">stereocomplementary enol tosylations and stereoretentive </w:t>
      </w:r>
      <w:r w:rsidRPr="005C1EAF">
        <w:rPr>
          <w:rFonts w:cs="Times New Roman"/>
        </w:rPr>
        <w:t>cross-coupling reactions</w:t>
      </w:r>
      <w:r w:rsidR="00DE6FB8">
        <w:rPr>
          <w:rFonts w:cs="Times New Roman"/>
        </w:rPr>
        <w:t xml:space="preserve"> (Types I and II)</w:t>
      </w:r>
      <w:r w:rsidRPr="005C1EAF">
        <w:rPr>
          <w:rFonts w:cs="Times New Roman"/>
        </w:rPr>
        <w:t>.</w:t>
      </w:r>
    </w:p>
    <w:p w:rsidR="00E7469D" w:rsidRDefault="00105A1C" w:rsidP="00E7469D">
      <w:pPr>
        <w:pStyle w:val="a3"/>
        <w:spacing w:before="90" w:line="280" w:lineRule="auto"/>
        <w:ind w:left="100" w:firstLineChars="100" w:firstLine="180"/>
        <w:jc w:val="both"/>
        <w:rPr>
          <w:rFonts w:cs="Times New Roman"/>
        </w:rPr>
      </w:pPr>
      <w:r w:rsidRPr="005C1EAF">
        <w:rPr>
          <w:rFonts w:cs="Times New Roman"/>
          <w:color w:val="000000" w:themeColor="text1"/>
        </w:rPr>
        <w:t xml:space="preserve">  </w:t>
      </w:r>
      <w:r w:rsidRPr="005C1EAF">
        <w:rPr>
          <w:rFonts w:cs="Times New Roman"/>
        </w:rPr>
        <w:t>The salient advantageous features are as follows.  (</w:t>
      </w:r>
      <w:proofErr w:type="spellStart"/>
      <w:r w:rsidRPr="005C1EAF">
        <w:rPr>
          <w:rFonts w:cs="Times New Roman"/>
        </w:rPr>
        <w:t>i</w:t>
      </w:r>
      <w:proofErr w:type="spellEnd"/>
      <w:r w:rsidRPr="005C1EAF">
        <w:rPr>
          <w:rFonts w:cs="Times New Roman"/>
        </w:rPr>
        <w:t xml:space="preserve">) Various </w:t>
      </w:r>
      <w:r w:rsidR="00EE4244" w:rsidRPr="005C1EAF">
        <w:rPr>
          <w:rFonts w:ascii="Calibri" w:hAnsi="Calibri" w:cs="Calibri"/>
        </w:rPr>
        <w:t>β</w:t>
      </w:r>
      <w:r w:rsidRPr="005C1EAF">
        <w:rPr>
          <w:rFonts w:cs="Times New Roman"/>
        </w:rPr>
        <w:t>-</w:t>
      </w:r>
      <w:proofErr w:type="spellStart"/>
      <w:r w:rsidRPr="005C1EAF">
        <w:rPr>
          <w:rFonts w:cs="Times New Roman"/>
        </w:rPr>
        <w:t>keto</w:t>
      </w:r>
      <w:proofErr w:type="spellEnd"/>
      <w:r w:rsidRPr="005C1EAF">
        <w:rPr>
          <w:rFonts w:cs="Times New Roman"/>
        </w:rPr>
        <w:t xml:space="preserve"> or </w:t>
      </w:r>
      <w:r w:rsidR="00EE4244" w:rsidRPr="005C1EAF">
        <w:rPr>
          <w:rFonts w:ascii="Calibri" w:hAnsi="Calibri" w:cs="Calibri"/>
        </w:rPr>
        <w:t>α</w:t>
      </w:r>
      <w:r w:rsidRPr="005C1EAF">
        <w:rPr>
          <w:rFonts w:cs="Times New Roman"/>
        </w:rPr>
        <w:t xml:space="preserve">-formyl esters </w:t>
      </w:r>
      <w:r w:rsidRPr="005C1EAF">
        <w:rPr>
          <w:rFonts w:cs="Times New Roman"/>
          <w:b/>
        </w:rPr>
        <w:t>2</w:t>
      </w:r>
      <w:r w:rsidRPr="005C1EAF">
        <w:rPr>
          <w:rFonts w:cs="Times New Roman"/>
        </w:rPr>
        <w:t xml:space="preserve"> and </w:t>
      </w:r>
      <w:r w:rsidRPr="005C1EAF">
        <w:rPr>
          <w:rFonts w:cs="Times New Roman"/>
          <w:b/>
        </w:rPr>
        <w:t>2’</w:t>
      </w:r>
      <w:r w:rsidRPr="005C1EAF">
        <w:rPr>
          <w:rFonts w:cs="Times New Roman"/>
        </w:rPr>
        <w:t xml:space="preserve"> are practically available using bases-promoted and </w:t>
      </w:r>
      <w:proofErr w:type="spellStart"/>
      <w:r w:rsidRPr="005C1EAF">
        <w:rPr>
          <w:rFonts w:cs="Times New Roman"/>
        </w:rPr>
        <w:t>Ti</w:t>
      </w:r>
      <w:proofErr w:type="spellEnd"/>
      <w:r w:rsidRPr="005C1EAF">
        <w:rPr>
          <w:rFonts w:cs="Times New Roman"/>
        </w:rPr>
        <w:t>-Claisen condensations.  (ii) Both (</w:t>
      </w:r>
      <w:r w:rsidRPr="005C1EAF">
        <w:rPr>
          <w:rFonts w:cs="Times New Roman"/>
          <w:i/>
        </w:rPr>
        <w:t>E</w:t>
      </w:r>
      <w:r w:rsidRPr="005C1EAF">
        <w:rPr>
          <w:rFonts w:cs="Times New Roman"/>
        </w:rPr>
        <w:t>)- and (</w:t>
      </w:r>
      <w:r w:rsidRPr="005C1EAF">
        <w:rPr>
          <w:rFonts w:cs="Times New Roman"/>
          <w:i/>
        </w:rPr>
        <w:t>Z</w:t>
      </w:r>
      <w:r w:rsidRPr="005C1EAF">
        <w:rPr>
          <w:rFonts w:cs="Times New Roman"/>
        </w:rPr>
        <w:t xml:space="preserve">)-enol tosylates </w:t>
      </w:r>
      <w:r w:rsidRPr="005C1EAF">
        <w:rPr>
          <w:rFonts w:cs="Times New Roman"/>
          <w:b/>
        </w:rPr>
        <w:t>3</w:t>
      </w:r>
      <w:r w:rsidRPr="005C1EAF">
        <w:rPr>
          <w:rFonts w:cs="Times New Roman"/>
        </w:rPr>
        <w:t xml:space="preserve"> and </w:t>
      </w:r>
      <w:r w:rsidRPr="005C1EAF">
        <w:rPr>
          <w:rFonts w:cs="Times New Roman"/>
          <w:b/>
        </w:rPr>
        <w:t xml:space="preserve">3’ </w:t>
      </w:r>
      <w:r w:rsidRPr="005C1EAF">
        <w:rPr>
          <w:rFonts w:cs="Times New Roman"/>
        </w:rPr>
        <w:t xml:space="preserve">derived from respective </w:t>
      </w:r>
      <w:r w:rsidRPr="005C1EAF">
        <w:rPr>
          <w:rFonts w:cs="Times New Roman"/>
          <w:b/>
        </w:rPr>
        <w:t>2</w:t>
      </w:r>
      <w:r w:rsidRPr="005C1EAF">
        <w:rPr>
          <w:rFonts w:cs="Times New Roman"/>
        </w:rPr>
        <w:t xml:space="preserve"> and </w:t>
      </w:r>
      <w:r w:rsidRPr="005C1EAF">
        <w:rPr>
          <w:rFonts w:cs="Times New Roman"/>
          <w:b/>
        </w:rPr>
        <w:t>2’</w:t>
      </w:r>
      <w:r w:rsidR="00EE4244" w:rsidRPr="005C1EAF">
        <w:rPr>
          <w:rFonts w:cs="Times New Roman"/>
        </w:rPr>
        <w:t xml:space="preserve"> </w:t>
      </w:r>
      <w:r w:rsidRPr="005C1EAF">
        <w:rPr>
          <w:rFonts w:cs="Times New Roman"/>
        </w:rPr>
        <w:t xml:space="preserve">are prepared in </w:t>
      </w:r>
      <w:r w:rsidRPr="005C1EAF">
        <w:rPr>
          <w:rFonts w:eastAsia="ＭＳ ゴシック" w:cs="Times New Roman"/>
        </w:rPr>
        <w:t>(</w:t>
      </w:r>
      <w:r w:rsidRPr="005C1EAF">
        <w:rPr>
          <w:rFonts w:eastAsia="ＭＳ ゴシック" w:cs="Times New Roman"/>
          <w:i/>
          <w:iCs/>
        </w:rPr>
        <w:t>E</w:t>
      </w:r>
      <w:r w:rsidRPr="005C1EAF">
        <w:rPr>
          <w:rFonts w:eastAsia="ＭＳ ゴシック" w:cs="Times New Roman"/>
        </w:rPr>
        <w:t>)- and (</w:t>
      </w:r>
      <w:r w:rsidRPr="005C1EAF">
        <w:rPr>
          <w:rFonts w:eastAsia="ＭＳ ゴシック" w:cs="Times New Roman"/>
          <w:i/>
          <w:iCs/>
        </w:rPr>
        <w:t>Z</w:t>
      </w:r>
      <w:r w:rsidRPr="005C1EAF">
        <w:rPr>
          <w:rFonts w:eastAsia="ＭＳ ゴシック" w:cs="Times New Roman"/>
        </w:rPr>
        <w:t>)-stereocomplementary</w:t>
      </w:r>
      <w:r w:rsidRPr="005C1EAF">
        <w:rPr>
          <w:rFonts w:cs="Times New Roman"/>
        </w:rPr>
        <w:t xml:space="preserve"> manner by using accessible, robust, and bench-top handling TsCl</w:t>
      </w:r>
      <w:r w:rsidR="00EE4244" w:rsidRPr="005C1EAF">
        <w:rPr>
          <w:rFonts w:ascii="Arial" w:hAnsi="Arial" w:cs="Arial"/>
          <w:i/>
        </w:rPr>
        <w:t>‒</w:t>
      </w:r>
      <w:r w:rsidRPr="005C1EAF">
        <w:rPr>
          <w:rFonts w:cs="Times New Roman"/>
          <w:i/>
        </w:rPr>
        <w:t>N</w:t>
      </w:r>
      <w:r w:rsidRPr="005C1EAF">
        <w:rPr>
          <w:rFonts w:cs="Times New Roman"/>
        </w:rPr>
        <w:t>-methylimidazole (NMI)</w:t>
      </w:r>
      <w:r w:rsidR="00F8133C" w:rsidRPr="005C1EAF">
        <w:rPr>
          <w:rFonts w:cs="Times New Roman"/>
        </w:rPr>
        <w:t xml:space="preserve"> or TsCl</w:t>
      </w:r>
      <w:r w:rsidR="00F8133C" w:rsidRPr="005C1EAF">
        <w:rPr>
          <w:rFonts w:ascii="Arial" w:hAnsi="Arial" w:cs="Arial"/>
          <w:i/>
        </w:rPr>
        <w:t>‒</w:t>
      </w:r>
      <w:r w:rsidR="00F8133C" w:rsidRPr="005C1EAF">
        <w:rPr>
          <w:rFonts w:cs="Times New Roman"/>
        </w:rPr>
        <w:t>Me</w:t>
      </w:r>
      <w:r w:rsidR="00F8133C" w:rsidRPr="005C1EAF">
        <w:rPr>
          <w:rFonts w:cs="Times New Roman"/>
          <w:vertAlign w:val="subscript"/>
        </w:rPr>
        <w:t>2</w:t>
      </w:r>
      <w:r w:rsidR="00F8133C" w:rsidRPr="005C1EAF">
        <w:rPr>
          <w:rFonts w:cs="Times New Roman"/>
        </w:rPr>
        <w:t>(CH</w:t>
      </w:r>
      <w:proofErr w:type="gramStart"/>
      <w:r w:rsidR="00F8133C" w:rsidRPr="005C1EAF">
        <w:rPr>
          <w:rFonts w:cs="Times New Roman"/>
          <w:vertAlign w:val="subscript"/>
        </w:rPr>
        <w:t>2</w:t>
      </w:r>
      <w:r w:rsidR="00F8133C" w:rsidRPr="005C1EAF">
        <w:rPr>
          <w:rFonts w:cs="Times New Roman"/>
        </w:rPr>
        <w:t>)nNMe</w:t>
      </w:r>
      <w:proofErr w:type="gramEnd"/>
      <w:r w:rsidR="00F8133C" w:rsidRPr="005C1EAF">
        <w:rPr>
          <w:rFonts w:cs="Times New Roman"/>
          <w:vertAlign w:val="subscript"/>
        </w:rPr>
        <w:t>2</w:t>
      </w:r>
      <w:r w:rsidR="00F8133C" w:rsidRPr="005C1EAF">
        <w:rPr>
          <w:rFonts w:cs="Times New Roman"/>
        </w:rPr>
        <w:t xml:space="preserve"> (n = 2, 6)</w:t>
      </w:r>
      <w:r w:rsidRPr="005C1EAF">
        <w:rPr>
          <w:rFonts w:cs="Times New Roman"/>
        </w:rPr>
        <w:t xml:space="preserve"> reagents.  </w:t>
      </w:r>
      <w:r w:rsidR="005C1EAF" w:rsidRPr="005C1EAF">
        <w:rPr>
          <w:rFonts w:cs="Times New Roman"/>
        </w:rPr>
        <w:t>NMI or Me</w:t>
      </w:r>
      <w:r w:rsidR="005C1EAF" w:rsidRPr="005C1EAF">
        <w:rPr>
          <w:rFonts w:cs="Times New Roman"/>
          <w:vertAlign w:val="subscript"/>
        </w:rPr>
        <w:t>2</w:t>
      </w:r>
      <w:r w:rsidR="005C1EAF" w:rsidRPr="005C1EAF">
        <w:rPr>
          <w:rFonts w:cs="Times New Roman"/>
        </w:rPr>
        <w:t>(CH</w:t>
      </w:r>
      <w:proofErr w:type="gramStart"/>
      <w:r w:rsidR="005C1EAF" w:rsidRPr="005C1EAF">
        <w:rPr>
          <w:rFonts w:cs="Times New Roman"/>
          <w:vertAlign w:val="subscript"/>
        </w:rPr>
        <w:t>2</w:t>
      </w:r>
      <w:r w:rsidR="005C1EAF" w:rsidRPr="005C1EAF">
        <w:rPr>
          <w:rFonts w:cs="Times New Roman"/>
        </w:rPr>
        <w:t>)nNMe</w:t>
      </w:r>
      <w:proofErr w:type="gramEnd"/>
      <w:r w:rsidR="005C1EAF" w:rsidRPr="005C1EAF">
        <w:rPr>
          <w:rFonts w:cs="Times New Roman"/>
          <w:vertAlign w:val="subscript"/>
        </w:rPr>
        <w:t>2</w:t>
      </w:r>
      <w:r w:rsidR="005C1EAF" w:rsidRPr="005C1EAF">
        <w:rPr>
          <w:rFonts w:cs="Times New Roman"/>
        </w:rPr>
        <w:t xml:space="preserve"> is a key potential activator for </w:t>
      </w:r>
      <w:r w:rsidR="00322B56">
        <w:rPr>
          <w:rFonts w:cs="Times New Roman"/>
        </w:rPr>
        <w:t xml:space="preserve">the </w:t>
      </w:r>
      <w:r w:rsidR="005C1EAF" w:rsidRPr="005C1EAF">
        <w:rPr>
          <w:rFonts w:cs="Times New Roman"/>
        </w:rPr>
        <w:t xml:space="preserve">sulfonylation.  </w:t>
      </w:r>
      <w:r w:rsidR="002E12AD" w:rsidRPr="005C1EAF">
        <w:rPr>
          <w:szCs w:val="17"/>
        </w:rPr>
        <w:t xml:space="preserve">A careful </w:t>
      </w:r>
      <w:r w:rsidR="002E12AD" w:rsidRPr="005C1EAF">
        <w:rPr>
          <w:szCs w:val="17"/>
          <w:vertAlign w:val="superscript"/>
        </w:rPr>
        <w:t>1</w:t>
      </w:r>
      <w:r w:rsidR="002E12AD" w:rsidRPr="005C1EAF">
        <w:rPr>
          <w:szCs w:val="17"/>
        </w:rPr>
        <w:t>H NMR monitoring experiment (</w:t>
      </w:r>
      <w:r w:rsidR="002E12AD" w:rsidRPr="005C1EAF">
        <w:rPr>
          <w:rFonts w:ascii="Arial" w:hAnsi="Arial" w:cs="Arial"/>
        </w:rPr>
        <w:t>−</w:t>
      </w:r>
      <w:r w:rsidR="002E12AD" w:rsidRPr="005C1EAF">
        <w:rPr>
          <w:szCs w:val="17"/>
        </w:rPr>
        <w:t>40</w:t>
      </w:r>
      <w:r w:rsidR="002E12AD" w:rsidRPr="005C1EAF">
        <w:rPr>
          <w:szCs w:val="17"/>
          <w:vertAlign w:val="superscript"/>
        </w:rPr>
        <w:t xml:space="preserve"> </w:t>
      </w:r>
      <w:r w:rsidR="002E12AD" w:rsidRPr="005C1EAF">
        <w:t>°</w:t>
      </w:r>
      <w:r w:rsidR="002E12AD" w:rsidRPr="005C1EAF">
        <w:rPr>
          <w:szCs w:val="17"/>
        </w:rPr>
        <w:t>C in CD</w:t>
      </w:r>
      <w:r w:rsidR="002E12AD" w:rsidRPr="005C1EAF">
        <w:rPr>
          <w:szCs w:val="17"/>
          <w:vertAlign w:val="subscript"/>
        </w:rPr>
        <w:t>3</w:t>
      </w:r>
      <w:r w:rsidR="002E12AD" w:rsidRPr="005C1EAF">
        <w:rPr>
          <w:szCs w:val="17"/>
        </w:rPr>
        <w:t>CN) revealed that TsCl co</w:t>
      </w:r>
      <w:r w:rsidR="00685833">
        <w:rPr>
          <w:szCs w:val="17"/>
        </w:rPr>
        <w:t>upled with NMI or TMEDA formed</w:t>
      </w:r>
      <w:r w:rsidR="002E12AD" w:rsidRPr="005C1EAF">
        <w:rPr>
          <w:szCs w:val="17"/>
        </w:rPr>
        <w:t xml:space="preserve"> </w:t>
      </w:r>
      <w:r w:rsidR="005C1EAF">
        <w:rPr>
          <w:szCs w:val="17"/>
        </w:rPr>
        <w:t xml:space="preserve">active </w:t>
      </w:r>
      <w:r w:rsidR="002E12AD" w:rsidRPr="005C1EAF">
        <w:rPr>
          <w:i/>
          <w:szCs w:val="17"/>
        </w:rPr>
        <w:t>N</w:t>
      </w:r>
      <w:r w:rsidR="002E12AD" w:rsidRPr="005C1EAF">
        <w:rPr>
          <w:szCs w:val="17"/>
        </w:rPr>
        <w:t>-sulfonylammonium intermediate</w:t>
      </w:r>
      <w:r w:rsidR="00685833">
        <w:rPr>
          <w:szCs w:val="17"/>
        </w:rPr>
        <w:t>s</w:t>
      </w:r>
      <w:r w:rsidR="002E12AD" w:rsidRPr="005C1EAF">
        <w:rPr>
          <w:szCs w:val="17"/>
        </w:rPr>
        <w:t xml:space="preserve">. </w:t>
      </w:r>
      <w:r w:rsidR="002E12AD" w:rsidRPr="005C1EAF">
        <w:rPr>
          <w:rFonts w:cs="Times New Roman"/>
        </w:rPr>
        <w:t xml:space="preserve"> </w:t>
      </w:r>
      <w:r w:rsidRPr="005C1EAF">
        <w:rPr>
          <w:rFonts w:cs="Times New Roman"/>
        </w:rPr>
        <w:t xml:space="preserve">(iii) High and consistent substrate-generality (&gt;100 examples: Suzuki-Miyaura, Negishi, </w:t>
      </w:r>
      <w:proofErr w:type="spellStart"/>
      <w:r w:rsidRPr="005C1EAF">
        <w:rPr>
          <w:rFonts w:cs="Times New Roman"/>
        </w:rPr>
        <w:t>Sonogashi</w:t>
      </w:r>
      <w:r w:rsidRPr="005C1EAF">
        <w:rPr>
          <w:rFonts w:cs="Times New Roman"/>
          <w:color w:val="000000" w:themeColor="text1"/>
        </w:rPr>
        <w:t>ra</w:t>
      </w:r>
      <w:proofErr w:type="spellEnd"/>
      <w:r w:rsidRPr="005C1EAF">
        <w:rPr>
          <w:rFonts w:cs="Times New Roman"/>
          <w:color w:val="000000" w:themeColor="text1"/>
        </w:rPr>
        <w:t xml:space="preserve">, </w:t>
      </w:r>
      <w:r w:rsidR="00322B56">
        <w:rPr>
          <w:rFonts w:cs="Times New Roman"/>
          <w:color w:val="000000" w:themeColor="text1"/>
        </w:rPr>
        <w:t>Kochi-</w:t>
      </w:r>
      <w:proofErr w:type="spellStart"/>
      <w:r w:rsidRPr="005C1EAF">
        <w:rPr>
          <w:rFonts w:cs="Times New Roman"/>
          <w:color w:val="000000" w:themeColor="text1"/>
        </w:rPr>
        <w:t>F</w:t>
      </w:r>
      <w:r w:rsidR="00322B56" w:rsidRPr="00322B56">
        <w:rPr>
          <w:rFonts w:cs="Times New Roman"/>
          <w:color w:val="000000" w:themeColor="text1"/>
        </w:rPr>
        <w:t>ü</w:t>
      </w:r>
      <w:r w:rsidRPr="005C1EAF">
        <w:rPr>
          <w:rFonts w:cs="Times New Roman"/>
          <w:color w:val="000000" w:themeColor="text1"/>
        </w:rPr>
        <w:t>rstner</w:t>
      </w:r>
      <w:proofErr w:type="spellEnd"/>
      <w:r w:rsidRPr="005C1EAF">
        <w:rPr>
          <w:rFonts w:cs="Times New Roman"/>
        </w:rPr>
        <w:t xml:space="preserve">) </w:t>
      </w:r>
      <w:r w:rsidR="00322B56">
        <w:rPr>
          <w:rFonts w:cs="Times New Roman"/>
        </w:rPr>
        <w:t>is demonstrated.  (iv) The</w:t>
      </w:r>
      <w:r w:rsidRPr="005C1EAF">
        <w:rPr>
          <w:rFonts w:cs="Times New Roman"/>
        </w:rPr>
        <w:t xml:space="preserve"> parallel syntheses of (</w:t>
      </w:r>
      <w:r w:rsidRPr="005C1EAF">
        <w:rPr>
          <w:rFonts w:cs="Times New Roman"/>
          <w:i/>
        </w:rPr>
        <w:t>E</w:t>
      </w:r>
      <w:r w:rsidRPr="005C1EAF">
        <w:rPr>
          <w:rFonts w:cs="Times New Roman"/>
        </w:rPr>
        <w:t>)- and (</w:t>
      </w:r>
      <w:r w:rsidRPr="005C1EAF">
        <w:rPr>
          <w:rFonts w:cs="Times New Roman"/>
          <w:i/>
        </w:rPr>
        <w:t>Z</w:t>
      </w:r>
      <w:r w:rsidRPr="005C1EAF">
        <w:rPr>
          <w:rFonts w:cs="Times New Roman"/>
        </w:rPr>
        <w:t>)-</w:t>
      </w:r>
      <w:r w:rsidRPr="005C1EAF">
        <w:rPr>
          <w:rFonts w:cs="Times New Roman"/>
          <w:b/>
        </w:rPr>
        <w:t>1</w:t>
      </w:r>
      <w:r w:rsidR="00BF692D">
        <w:rPr>
          <w:rFonts w:cs="Times New Roman"/>
          <w:b/>
        </w:rPr>
        <w:t xml:space="preserve"> </w:t>
      </w:r>
      <w:r w:rsidR="00BF692D" w:rsidRPr="00BF692D">
        <w:rPr>
          <w:rFonts w:cs="Times New Roman"/>
        </w:rPr>
        <w:t xml:space="preserve">and </w:t>
      </w:r>
      <w:r w:rsidR="00BF692D">
        <w:rPr>
          <w:rFonts w:cs="Times New Roman"/>
          <w:b/>
        </w:rPr>
        <w:t>1’</w:t>
      </w:r>
      <w:r w:rsidRPr="005C1EAF">
        <w:rPr>
          <w:rFonts w:cs="Times New Roman"/>
        </w:rPr>
        <w:t xml:space="preserve"> are performed by using a pair of </w:t>
      </w:r>
      <w:r w:rsidRPr="005C1EAF">
        <w:rPr>
          <w:rFonts w:cs="Times New Roman"/>
          <w:b/>
        </w:rPr>
        <w:t>2</w:t>
      </w:r>
      <w:r w:rsidRPr="005C1EAF">
        <w:rPr>
          <w:rFonts w:cs="Times New Roman"/>
        </w:rPr>
        <w:t xml:space="preserve"> and </w:t>
      </w:r>
      <w:r w:rsidRPr="005C1EAF">
        <w:rPr>
          <w:rFonts w:cs="Times New Roman"/>
          <w:b/>
        </w:rPr>
        <w:t>2’</w:t>
      </w:r>
      <w:r w:rsidRPr="005C1EAF">
        <w:rPr>
          <w:rFonts w:cs="Times New Roman"/>
        </w:rPr>
        <w:t>.</w:t>
      </w:r>
      <w:r w:rsidR="00E7469D">
        <w:rPr>
          <w:rFonts w:cs="Times New Roman"/>
        </w:rPr>
        <w:t xml:space="preserve">  </w:t>
      </w:r>
      <w:r w:rsidR="009F5BBC">
        <w:rPr>
          <w:rFonts w:cs="Times New Roman"/>
        </w:rPr>
        <w:t xml:space="preserve">(v) </w:t>
      </w:r>
      <w:r w:rsidR="00E7469D" w:rsidRPr="00E7469D">
        <w:rPr>
          <w:rFonts w:cs="Times New Roman"/>
        </w:rPr>
        <w:t>The obtained (</w:t>
      </w:r>
      <w:r w:rsidR="00E7469D" w:rsidRPr="00E7469D">
        <w:rPr>
          <w:rFonts w:cs="Times New Roman"/>
          <w:i/>
        </w:rPr>
        <w:t>E</w:t>
      </w:r>
      <w:r w:rsidR="00E7469D" w:rsidRPr="00E7469D">
        <w:rPr>
          <w:rFonts w:cs="Times New Roman"/>
        </w:rPr>
        <w:t>)- and (</w:t>
      </w:r>
      <w:r w:rsidR="00E7469D" w:rsidRPr="00E7469D">
        <w:rPr>
          <w:rFonts w:cs="Times New Roman"/>
          <w:i/>
        </w:rPr>
        <w:t>Z</w:t>
      </w:r>
      <w:r w:rsidR="00E7469D" w:rsidRPr="00E7469D">
        <w:rPr>
          <w:rFonts w:cs="Times New Roman"/>
        </w:rPr>
        <w:t>)-</w:t>
      </w:r>
      <w:proofErr w:type="gramStart"/>
      <w:r w:rsidR="00E7469D" w:rsidRPr="00E7469D">
        <w:rPr>
          <w:rFonts w:ascii="Calibri" w:hAnsi="Calibri" w:cs="Calibri"/>
        </w:rPr>
        <w:t>α</w:t>
      </w:r>
      <w:r w:rsidR="00E7469D" w:rsidRPr="00E7469D">
        <w:rPr>
          <w:rFonts w:cs="Times New Roman"/>
        </w:rPr>
        <w:t>,</w:t>
      </w:r>
      <w:r w:rsidR="00E7469D" w:rsidRPr="00E7469D">
        <w:rPr>
          <w:rFonts w:ascii="Calibri" w:hAnsi="Calibri" w:cs="Calibri"/>
        </w:rPr>
        <w:t>β</w:t>
      </w:r>
      <w:proofErr w:type="gramEnd"/>
      <w:r w:rsidR="00E7469D" w:rsidRPr="00E7469D">
        <w:rPr>
          <w:rFonts w:cs="Times New Roman"/>
        </w:rPr>
        <w:t xml:space="preserve">-unsaturated ester scaffolds </w:t>
      </w:r>
      <w:r w:rsidR="009C22BE">
        <w:rPr>
          <w:rFonts w:cs="Times New Roman"/>
        </w:rPr>
        <w:t>can be</w:t>
      </w:r>
      <w:r w:rsidR="00E7469D" w:rsidRPr="00E7469D">
        <w:rPr>
          <w:rFonts w:cs="Times New Roman"/>
        </w:rPr>
        <w:t xml:space="preserve"> transformed into various (</w:t>
      </w:r>
      <w:r w:rsidR="00E7469D" w:rsidRPr="00E7469D">
        <w:rPr>
          <w:rFonts w:cs="Times New Roman"/>
          <w:i/>
        </w:rPr>
        <w:t>E</w:t>
      </w:r>
      <w:r w:rsidR="00E7469D" w:rsidRPr="00E7469D">
        <w:rPr>
          <w:rFonts w:cs="Times New Roman"/>
        </w:rPr>
        <w:t>)- and (</w:t>
      </w:r>
      <w:r w:rsidR="00E7469D" w:rsidRPr="00E7469D">
        <w:rPr>
          <w:rFonts w:cs="Times New Roman"/>
          <w:i/>
        </w:rPr>
        <w:t>Z</w:t>
      </w:r>
      <w:r w:rsidR="00E7469D" w:rsidRPr="00E7469D">
        <w:rPr>
          <w:rFonts w:cs="Times New Roman"/>
        </w:rPr>
        <w:t>)-stereodefined known and novel olefins.</w:t>
      </w:r>
      <w:r w:rsidRPr="005C1EAF">
        <w:rPr>
          <w:rFonts w:cs="Times New Roman"/>
        </w:rPr>
        <w:t xml:space="preserve">  </w:t>
      </w:r>
    </w:p>
    <w:p w:rsidR="00E7469D" w:rsidRPr="00E7469D" w:rsidRDefault="00DB2EB7" w:rsidP="00E7469D">
      <w:pPr>
        <w:pStyle w:val="a3"/>
        <w:spacing w:before="90" w:line="280" w:lineRule="auto"/>
        <w:ind w:left="100" w:firstLineChars="100" w:firstLine="180"/>
        <w:jc w:val="both"/>
        <w:rPr>
          <w:rFonts w:cs="Times New Roman"/>
        </w:rPr>
      </w:pPr>
      <w:r w:rsidRPr="005C1EAF">
        <w:rPr>
          <w:rFonts w:cs="Times New Roman"/>
        </w:rPr>
        <w:t xml:space="preserve">To demonstrate the utility of the present method, expeditious </w:t>
      </w:r>
      <w:r w:rsidR="001B5695">
        <w:rPr>
          <w:rFonts w:cs="Times New Roman"/>
        </w:rPr>
        <w:t xml:space="preserve">the first </w:t>
      </w:r>
      <w:r w:rsidRPr="005C1EAF">
        <w:rPr>
          <w:rFonts w:cs="Times New Roman"/>
        </w:rPr>
        <w:t>“parallel” syntheses of all four (</w:t>
      </w:r>
      <w:r w:rsidRPr="005C1EAF">
        <w:rPr>
          <w:rFonts w:cs="Times New Roman"/>
          <w:i/>
        </w:rPr>
        <w:t>E</w:t>
      </w:r>
      <w:r w:rsidRPr="005C1EAF">
        <w:rPr>
          <w:rFonts w:cs="Times New Roman"/>
        </w:rPr>
        <w:t>)- and (</w:t>
      </w:r>
      <w:r w:rsidRPr="005C1EAF">
        <w:rPr>
          <w:rFonts w:cs="Times New Roman"/>
          <w:i/>
        </w:rPr>
        <w:t>Z</w:t>
      </w:r>
      <w:r w:rsidRPr="005C1EAF">
        <w:rPr>
          <w:rFonts w:cs="Times New Roman"/>
        </w:rPr>
        <w:t>)-Z</w:t>
      </w:r>
      <w:proofErr w:type="spellStart"/>
      <w:r w:rsidRPr="005C1EAF">
        <w:rPr>
          <w:rFonts w:cs="Times New Roman"/>
          <w:bCs/>
          <w:lang w:val="en"/>
        </w:rPr>
        <w:t>imelidines</w:t>
      </w:r>
      <w:proofErr w:type="spellEnd"/>
      <w:r w:rsidRPr="005C1EAF">
        <w:rPr>
          <w:rFonts w:cs="Times New Roman"/>
          <w:bCs/>
          <w:lang w:val="en"/>
        </w:rPr>
        <w:t xml:space="preserve"> </w:t>
      </w:r>
      <w:r w:rsidRPr="005C1EAF">
        <w:rPr>
          <w:rFonts w:cs="Times New Roman"/>
          <w:b/>
          <w:bCs/>
          <w:lang w:val="en"/>
        </w:rPr>
        <w:t xml:space="preserve">4 </w:t>
      </w:r>
      <w:r w:rsidR="009F5BBC" w:rsidRPr="009F5BBC">
        <w:rPr>
          <w:rFonts w:cs="Times New Roman"/>
          <w:bCs/>
          <w:lang w:val="en"/>
        </w:rPr>
        <w:t>(</w:t>
      </w:r>
      <w:r w:rsidR="009F5BBC">
        <w:rPr>
          <w:rFonts w:cs="Times New Roman"/>
        </w:rPr>
        <w:t>5</w:t>
      </w:r>
      <w:r w:rsidR="009F5BBC" w:rsidRPr="00E7469D">
        <w:rPr>
          <w:rFonts w:cs="Times New Roman"/>
        </w:rPr>
        <w:t xml:space="preserve"> steps</w:t>
      </w:r>
      <w:r w:rsidR="009F5BBC">
        <w:rPr>
          <w:rFonts w:cs="Times New Roman"/>
        </w:rPr>
        <w:t>, 33</w:t>
      </w:r>
      <w:r w:rsidR="009F5BBC" w:rsidRPr="00E7469D">
        <w:rPr>
          <w:rFonts w:cs="Times New Roman"/>
        </w:rPr>
        <w:t>%</w:t>
      </w:r>
      <w:r w:rsidR="009F5BBC">
        <w:rPr>
          <w:rFonts w:cs="Times New Roman"/>
        </w:rPr>
        <w:t xml:space="preserve"> and 45</w:t>
      </w:r>
      <w:r w:rsidR="009F5BBC" w:rsidRPr="00E7469D">
        <w:rPr>
          <w:rFonts w:cs="Times New Roman"/>
        </w:rPr>
        <w:t>%</w:t>
      </w:r>
      <w:r w:rsidR="009F5BBC">
        <w:rPr>
          <w:rFonts w:cs="Times New Roman"/>
        </w:rPr>
        <w:t xml:space="preserve"> overall yield</w:t>
      </w:r>
      <w:r w:rsidR="001B5695">
        <w:rPr>
          <w:rFonts w:cs="Times New Roman"/>
        </w:rPr>
        <w:t xml:space="preserve">, </w:t>
      </w:r>
      <w:r w:rsidR="008E2973">
        <w:rPr>
          <w:rFonts w:cs="Times New Roman"/>
        </w:rPr>
        <w:t>80</w:t>
      </w:r>
      <w:r w:rsidR="001B5695">
        <w:rPr>
          <w:rFonts w:cs="Times New Roman"/>
        </w:rPr>
        <w:t>% and 8</w:t>
      </w:r>
      <w:r w:rsidR="008E2973">
        <w:rPr>
          <w:rFonts w:cs="Times New Roman"/>
        </w:rPr>
        <w:t>2</w:t>
      </w:r>
      <w:r w:rsidR="001B5695">
        <w:rPr>
          <w:rFonts w:cs="Times New Roman"/>
        </w:rPr>
        <w:t>% average yield</w:t>
      </w:r>
      <w:r w:rsidR="009F5BBC">
        <w:rPr>
          <w:rFonts w:cs="Times New Roman"/>
          <w:b/>
          <w:bCs/>
          <w:lang w:val="en"/>
        </w:rPr>
        <w:t xml:space="preserve">) </w:t>
      </w:r>
      <w:r w:rsidRPr="005C1EAF">
        <w:rPr>
          <w:rFonts w:cs="Times New Roman"/>
          <w:bCs/>
          <w:lang w:val="en"/>
        </w:rPr>
        <w:t xml:space="preserve">and </w:t>
      </w:r>
      <w:proofErr w:type="spellStart"/>
      <w:r w:rsidRPr="005C1EAF">
        <w:rPr>
          <w:rFonts w:cs="Times New Roman"/>
          <w:bCs/>
          <w:lang w:val="en"/>
        </w:rPr>
        <w:t>Tamoxifens</w:t>
      </w:r>
      <w:proofErr w:type="spellEnd"/>
      <w:r w:rsidRPr="005C1EAF">
        <w:rPr>
          <w:rFonts w:cs="Times New Roman"/>
          <w:bCs/>
          <w:lang w:val="en"/>
        </w:rPr>
        <w:t xml:space="preserve"> </w:t>
      </w:r>
      <w:r w:rsidRPr="005C1EAF">
        <w:rPr>
          <w:rFonts w:cs="Times New Roman"/>
          <w:b/>
          <w:bCs/>
          <w:lang w:val="en"/>
        </w:rPr>
        <w:t>5</w:t>
      </w:r>
      <w:r w:rsidR="009F5BBC">
        <w:rPr>
          <w:rFonts w:cs="Times New Roman"/>
          <w:b/>
          <w:bCs/>
          <w:lang w:val="en"/>
        </w:rPr>
        <w:t xml:space="preserve"> </w:t>
      </w:r>
      <w:r w:rsidR="009F5BBC" w:rsidRPr="009F5BBC">
        <w:rPr>
          <w:rFonts w:cs="Times New Roman"/>
          <w:bCs/>
          <w:lang w:val="en"/>
        </w:rPr>
        <w:t>(</w:t>
      </w:r>
      <w:r w:rsidR="00E7469D" w:rsidRPr="00E7469D">
        <w:rPr>
          <w:rFonts w:cs="Times New Roman"/>
        </w:rPr>
        <w:t>8 steps</w:t>
      </w:r>
      <w:r w:rsidR="009F5BBC">
        <w:rPr>
          <w:rFonts w:cs="Times New Roman"/>
        </w:rPr>
        <w:t xml:space="preserve">, </w:t>
      </w:r>
      <w:r w:rsidR="00E7469D" w:rsidRPr="00E7469D">
        <w:rPr>
          <w:rFonts w:cs="Times New Roman"/>
        </w:rPr>
        <w:t>58%</w:t>
      </w:r>
      <w:r w:rsidR="009F5BBC">
        <w:rPr>
          <w:rFonts w:cs="Times New Roman"/>
        </w:rPr>
        <w:t xml:space="preserve"> and </w:t>
      </w:r>
      <w:r w:rsidR="009F5BBC" w:rsidRPr="00E7469D">
        <w:rPr>
          <w:rFonts w:cs="Times New Roman"/>
        </w:rPr>
        <w:t>57%</w:t>
      </w:r>
      <w:r w:rsidR="009F5BBC">
        <w:rPr>
          <w:rFonts w:cs="Times New Roman"/>
        </w:rPr>
        <w:t xml:space="preserve"> overall yield</w:t>
      </w:r>
      <w:r w:rsidR="00E02016">
        <w:rPr>
          <w:rFonts w:eastAsiaTheme="minorEastAsia" w:cs="Times New Roman" w:hint="eastAsia"/>
          <w:lang w:eastAsia="ja-JP"/>
        </w:rPr>
        <w:t xml:space="preserve">, </w:t>
      </w:r>
      <w:r w:rsidR="00E02016">
        <w:rPr>
          <w:rFonts w:cs="Times New Roman"/>
        </w:rPr>
        <w:t>93% and 84% average yield</w:t>
      </w:r>
      <w:r w:rsidR="009F5BBC">
        <w:rPr>
          <w:rFonts w:cs="Times New Roman"/>
          <w:b/>
          <w:bCs/>
          <w:lang w:val="en"/>
        </w:rPr>
        <w:t>)</w:t>
      </w:r>
      <w:r w:rsidRPr="005C1EAF">
        <w:rPr>
          <w:rFonts w:cs="Times New Roman"/>
          <w:bCs/>
          <w:lang w:val="en"/>
        </w:rPr>
        <w:t xml:space="preserve">, </w:t>
      </w:r>
      <w:r w:rsidRPr="005C1EAF">
        <w:rPr>
          <w:rFonts w:cs="Times New Roman"/>
          <w:bCs/>
          <w:color w:val="000000" w:themeColor="text1"/>
          <w:lang w:val="en"/>
        </w:rPr>
        <w:t>which are</w:t>
      </w:r>
      <w:r w:rsidRPr="005C1EAF">
        <w:rPr>
          <w:rFonts w:cs="Times New Roman"/>
          <w:bCs/>
          <w:lang w:val="en"/>
        </w:rPr>
        <w:t xml:space="preserve"> highly representative </w:t>
      </w:r>
      <w:r w:rsidRPr="005C1EAF">
        <w:rPr>
          <w:rFonts w:cs="Times New Roman"/>
          <w:lang w:val="en"/>
        </w:rPr>
        <w:t>olefin motifs o</w:t>
      </w:r>
      <w:r w:rsidR="009F5BBC">
        <w:rPr>
          <w:rFonts w:cs="Times New Roman"/>
          <w:lang w:val="en"/>
        </w:rPr>
        <w:t>f pharmaceuticals, was accomplished</w:t>
      </w:r>
      <w:r w:rsidRPr="005C1EAF">
        <w:rPr>
          <w:rFonts w:cs="Times New Roman"/>
          <w:lang w:val="en"/>
        </w:rPr>
        <w:t>.</w:t>
      </w:r>
      <w:r w:rsidR="00E7469D">
        <w:rPr>
          <w:rFonts w:eastAsiaTheme="minorEastAsia" w:cs="Times New Roman" w:hint="eastAsia"/>
          <w:lang w:eastAsia="ja-JP"/>
        </w:rPr>
        <w:t xml:space="preserve"> </w:t>
      </w:r>
      <w:r w:rsidR="00E7469D">
        <w:rPr>
          <w:rFonts w:eastAsiaTheme="minorEastAsia" w:cs="Times New Roman"/>
          <w:lang w:eastAsia="ja-JP"/>
        </w:rPr>
        <w:t xml:space="preserve"> </w:t>
      </w:r>
      <w:r w:rsidR="008E2973">
        <w:rPr>
          <w:rFonts w:eastAsiaTheme="minorEastAsia" w:cs="Times New Roman"/>
          <w:lang w:eastAsia="ja-JP"/>
        </w:rPr>
        <w:t>(</w:t>
      </w:r>
      <w:r w:rsidR="00DE6FB8">
        <w:rPr>
          <w:rFonts w:eastAsiaTheme="minorEastAsia" w:cs="Times New Roman"/>
          <w:color w:val="FF0000"/>
          <w:lang w:eastAsia="ja-JP"/>
        </w:rPr>
        <w:t>298</w:t>
      </w:r>
      <w:r w:rsidR="008E2973" w:rsidRPr="008E2973">
        <w:rPr>
          <w:rFonts w:eastAsiaTheme="minorEastAsia" w:cs="Times New Roman"/>
          <w:color w:val="FF0000"/>
          <w:lang w:eastAsia="ja-JP"/>
        </w:rPr>
        <w:t xml:space="preserve"> words</w:t>
      </w:r>
      <w:r w:rsidR="008E2973">
        <w:rPr>
          <w:rFonts w:eastAsiaTheme="minorEastAsia" w:cs="Times New Roman"/>
          <w:lang w:eastAsia="ja-JP"/>
        </w:rPr>
        <w:t>)</w:t>
      </w:r>
    </w:p>
    <w:p w:rsidR="00AE3E37" w:rsidRDefault="00A9710C">
      <w:pPr>
        <w:pStyle w:val="3"/>
        <w:spacing w:before="74"/>
      </w:pPr>
      <w:r>
        <w:rPr>
          <w:b w:val="0"/>
        </w:rPr>
        <w:br w:type="column"/>
      </w:r>
      <w:r>
        <w:rPr>
          <w:color w:val="BF5A14"/>
        </w:rPr>
        <w:t>Image</w:t>
      </w:r>
    </w:p>
    <w:bookmarkStart w:id="0" w:name="_GoBack"/>
    <w:p w:rsidR="009F5BBC" w:rsidRDefault="00DE6FB8" w:rsidP="00A61379">
      <w:pPr>
        <w:spacing w:line="240" w:lineRule="atLeast"/>
        <w:jc w:val="center"/>
      </w:pPr>
      <w:r>
        <w:object w:dxaOrig="13185" w:dyaOrig="86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91" type="#_x0000_t75" style="width:263.85pt;height:172.5pt" o:ole="">
            <v:imagedata r:id="rId10" o:title=""/>
          </v:shape>
          <o:OLEObject Type="Embed" ProgID="ChemDraw.Document.6.0" ShapeID="_x0000_i1091" DrawAspect="Content" ObjectID="_1544539816" r:id="rId11"/>
        </w:object>
      </w:r>
      <w:bookmarkEnd w:id="0"/>
    </w:p>
    <w:p w:rsidR="005973B9" w:rsidRDefault="005973B9" w:rsidP="00EE4244">
      <w:pPr>
        <w:spacing w:line="240" w:lineRule="atLeast"/>
        <w:jc w:val="center"/>
        <w:rPr>
          <w:rFonts w:ascii="Arial"/>
          <w:b/>
          <w:sz w:val="20"/>
        </w:rPr>
      </w:pPr>
      <w:r>
        <w:rPr>
          <w:rFonts w:ascii="Arial"/>
          <w:b/>
          <w:color w:val="BF5A14"/>
          <w:sz w:val="20"/>
        </w:rPr>
        <w:br/>
        <w:t>Recent Publications (minimum 5)</w:t>
      </w:r>
    </w:p>
    <w:p w:rsidR="00322B56" w:rsidRDefault="00560FE7" w:rsidP="00560FE7">
      <w:pPr>
        <w:pStyle w:val="a5"/>
        <w:numPr>
          <w:ilvl w:val="0"/>
          <w:numId w:val="3"/>
        </w:numPr>
        <w:tabs>
          <w:tab w:val="left" w:pos="384"/>
        </w:tabs>
        <w:spacing w:before="103" w:line="216" w:lineRule="exact"/>
        <w:ind w:right="138" w:hanging="283"/>
        <w:rPr>
          <w:sz w:val="18"/>
          <w:szCs w:val="18"/>
        </w:rPr>
      </w:pPr>
      <w:r>
        <w:rPr>
          <w:sz w:val="18"/>
          <w:szCs w:val="18"/>
        </w:rPr>
        <w:t xml:space="preserve"> </w:t>
      </w:r>
      <w:proofErr w:type="spellStart"/>
      <w:r w:rsidRPr="00560FE7">
        <w:rPr>
          <w:sz w:val="18"/>
          <w:szCs w:val="18"/>
        </w:rPr>
        <w:t>Nakatsuji</w:t>
      </w:r>
      <w:proofErr w:type="spellEnd"/>
      <w:r w:rsidRPr="00560FE7">
        <w:rPr>
          <w:sz w:val="18"/>
          <w:szCs w:val="18"/>
        </w:rPr>
        <w:t xml:space="preserve">, H.; Ueno, K.; Misaki, T.; Tanabe, Y. </w:t>
      </w:r>
      <w:r w:rsidRPr="00560FE7">
        <w:rPr>
          <w:i/>
          <w:iCs/>
          <w:sz w:val="18"/>
          <w:szCs w:val="18"/>
        </w:rPr>
        <w:t>Org. Lett.</w:t>
      </w:r>
      <w:r w:rsidRPr="00560FE7">
        <w:rPr>
          <w:sz w:val="18"/>
          <w:szCs w:val="18"/>
        </w:rPr>
        <w:t xml:space="preserve"> </w:t>
      </w:r>
      <w:r w:rsidRPr="00560FE7">
        <w:rPr>
          <w:b/>
          <w:sz w:val="18"/>
          <w:szCs w:val="18"/>
        </w:rPr>
        <w:t>2008</w:t>
      </w:r>
      <w:r w:rsidRPr="00560FE7">
        <w:rPr>
          <w:sz w:val="18"/>
          <w:szCs w:val="18"/>
        </w:rPr>
        <w:t xml:space="preserve">, </w:t>
      </w:r>
      <w:r w:rsidRPr="00560FE7">
        <w:rPr>
          <w:i/>
          <w:sz w:val="18"/>
          <w:szCs w:val="18"/>
        </w:rPr>
        <w:t>10</w:t>
      </w:r>
      <w:r w:rsidRPr="00560FE7">
        <w:rPr>
          <w:sz w:val="18"/>
          <w:szCs w:val="18"/>
        </w:rPr>
        <w:t>, 2131.</w:t>
      </w:r>
      <w:r w:rsidR="00322B56">
        <w:rPr>
          <w:sz w:val="18"/>
          <w:szCs w:val="18"/>
        </w:rPr>
        <w:t xml:space="preserve"> </w:t>
      </w:r>
    </w:p>
    <w:p w:rsidR="00322B56" w:rsidRPr="00931B2E" w:rsidRDefault="00560FE7" w:rsidP="00560FE7">
      <w:pPr>
        <w:pStyle w:val="a5"/>
        <w:numPr>
          <w:ilvl w:val="0"/>
          <w:numId w:val="3"/>
        </w:numPr>
        <w:tabs>
          <w:tab w:val="left" w:pos="384"/>
        </w:tabs>
        <w:spacing w:before="103" w:line="216" w:lineRule="exact"/>
        <w:ind w:right="138" w:hanging="283"/>
        <w:rPr>
          <w:sz w:val="18"/>
          <w:szCs w:val="18"/>
        </w:rPr>
      </w:pPr>
      <w:r>
        <w:rPr>
          <w:sz w:val="18"/>
          <w:szCs w:val="18"/>
        </w:rPr>
        <w:t xml:space="preserve"> </w:t>
      </w:r>
      <w:proofErr w:type="spellStart"/>
      <w:r w:rsidRPr="00560FE7">
        <w:rPr>
          <w:iCs/>
          <w:sz w:val="18"/>
          <w:szCs w:val="18"/>
        </w:rPr>
        <w:t>Nakatsuji</w:t>
      </w:r>
      <w:proofErr w:type="spellEnd"/>
      <w:r w:rsidRPr="00560FE7">
        <w:rPr>
          <w:iCs/>
          <w:sz w:val="18"/>
          <w:szCs w:val="18"/>
        </w:rPr>
        <w:t xml:space="preserve">, H.; </w:t>
      </w:r>
      <w:proofErr w:type="spellStart"/>
      <w:r w:rsidRPr="00560FE7">
        <w:rPr>
          <w:iCs/>
          <w:sz w:val="18"/>
          <w:szCs w:val="18"/>
        </w:rPr>
        <w:t>Nishikado</w:t>
      </w:r>
      <w:proofErr w:type="spellEnd"/>
      <w:r w:rsidRPr="00560FE7">
        <w:rPr>
          <w:iCs/>
          <w:sz w:val="18"/>
          <w:szCs w:val="18"/>
        </w:rPr>
        <w:t xml:space="preserve">, H.; Ueno, K.; Tanabe, Y. </w:t>
      </w:r>
      <w:r w:rsidRPr="00560FE7">
        <w:rPr>
          <w:i/>
          <w:iCs/>
          <w:sz w:val="18"/>
          <w:szCs w:val="18"/>
        </w:rPr>
        <w:t>Org. Lett.</w:t>
      </w:r>
      <w:r w:rsidRPr="00560FE7">
        <w:rPr>
          <w:iCs/>
          <w:sz w:val="18"/>
          <w:szCs w:val="18"/>
        </w:rPr>
        <w:t xml:space="preserve"> </w:t>
      </w:r>
      <w:r w:rsidRPr="00560FE7">
        <w:rPr>
          <w:b/>
          <w:iCs/>
          <w:sz w:val="18"/>
          <w:szCs w:val="18"/>
        </w:rPr>
        <w:t>2009</w:t>
      </w:r>
      <w:r w:rsidRPr="00560FE7">
        <w:rPr>
          <w:iCs/>
          <w:sz w:val="18"/>
          <w:szCs w:val="18"/>
        </w:rPr>
        <w:t xml:space="preserve">, </w:t>
      </w:r>
      <w:r w:rsidRPr="00560FE7">
        <w:rPr>
          <w:i/>
          <w:iCs/>
          <w:sz w:val="18"/>
          <w:szCs w:val="18"/>
        </w:rPr>
        <w:t>11</w:t>
      </w:r>
      <w:r w:rsidRPr="00560FE7">
        <w:rPr>
          <w:iCs/>
          <w:sz w:val="18"/>
          <w:szCs w:val="18"/>
        </w:rPr>
        <w:t>, 4258.</w:t>
      </w:r>
      <w:r>
        <w:rPr>
          <w:iCs/>
          <w:sz w:val="18"/>
          <w:szCs w:val="18"/>
        </w:rPr>
        <w:t xml:space="preserve">  </w:t>
      </w:r>
    </w:p>
    <w:p w:rsidR="00931B2E" w:rsidRDefault="00931B2E" w:rsidP="00931B2E">
      <w:pPr>
        <w:pStyle w:val="a5"/>
        <w:numPr>
          <w:ilvl w:val="0"/>
          <w:numId w:val="3"/>
        </w:numPr>
        <w:tabs>
          <w:tab w:val="left" w:pos="384"/>
        </w:tabs>
        <w:spacing w:before="103" w:line="216" w:lineRule="exact"/>
        <w:ind w:right="138"/>
        <w:rPr>
          <w:sz w:val="18"/>
          <w:szCs w:val="18"/>
        </w:rPr>
      </w:pPr>
      <w:proofErr w:type="spellStart"/>
      <w:r w:rsidRPr="00931B2E">
        <w:rPr>
          <w:sz w:val="18"/>
          <w:szCs w:val="18"/>
        </w:rPr>
        <w:t>Sawamura</w:t>
      </w:r>
      <w:proofErr w:type="spellEnd"/>
      <w:r w:rsidRPr="00931B2E">
        <w:rPr>
          <w:sz w:val="18"/>
          <w:szCs w:val="18"/>
        </w:rPr>
        <w:t>, Y.</w:t>
      </w:r>
      <w:r>
        <w:rPr>
          <w:sz w:val="18"/>
          <w:szCs w:val="18"/>
        </w:rPr>
        <w:t xml:space="preserve">; </w:t>
      </w:r>
      <w:proofErr w:type="spellStart"/>
      <w:r w:rsidRPr="00931B2E">
        <w:rPr>
          <w:sz w:val="18"/>
          <w:szCs w:val="18"/>
        </w:rPr>
        <w:t>Nakatsuji</w:t>
      </w:r>
      <w:proofErr w:type="spellEnd"/>
      <w:r w:rsidRPr="00931B2E">
        <w:rPr>
          <w:sz w:val="18"/>
          <w:szCs w:val="18"/>
        </w:rPr>
        <w:t>, H.</w:t>
      </w:r>
      <w:r>
        <w:rPr>
          <w:sz w:val="18"/>
          <w:szCs w:val="18"/>
        </w:rPr>
        <w:t>;</w:t>
      </w:r>
      <w:r w:rsidRPr="00931B2E">
        <w:rPr>
          <w:sz w:val="18"/>
          <w:szCs w:val="18"/>
        </w:rPr>
        <w:t xml:space="preserve"> </w:t>
      </w:r>
      <w:proofErr w:type="spellStart"/>
      <w:r>
        <w:rPr>
          <w:sz w:val="18"/>
          <w:szCs w:val="18"/>
        </w:rPr>
        <w:t>Sakakura</w:t>
      </w:r>
      <w:proofErr w:type="spellEnd"/>
      <w:r>
        <w:rPr>
          <w:sz w:val="18"/>
          <w:szCs w:val="18"/>
        </w:rPr>
        <w:t>,</w:t>
      </w:r>
      <w:r w:rsidRPr="00931B2E">
        <w:rPr>
          <w:sz w:val="18"/>
          <w:szCs w:val="18"/>
        </w:rPr>
        <w:t xml:space="preserve"> A.</w:t>
      </w:r>
      <w:r>
        <w:rPr>
          <w:sz w:val="18"/>
          <w:szCs w:val="18"/>
        </w:rPr>
        <w:t>;</w:t>
      </w:r>
      <w:r w:rsidRPr="00931B2E">
        <w:rPr>
          <w:sz w:val="18"/>
          <w:szCs w:val="18"/>
        </w:rPr>
        <w:t xml:space="preserve"> Ishihara, K. </w:t>
      </w:r>
      <w:r w:rsidRPr="00931B2E">
        <w:rPr>
          <w:i/>
          <w:sz w:val="18"/>
          <w:szCs w:val="18"/>
        </w:rPr>
        <w:t>Chem. Sci.</w:t>
      </w:r>
      <w:r w:rsidRPr="00931B2E">
        <w:rPr>
          <w:sz w:val="18"/>
          <w:szCs w:val="18"/>
        </w:rPr>
        <w:t xml:space="preserve"> </w:t>
      </w:r>
      <w:r w:rsidRPr="00931B2E">
        <w:rPr>
          <w:b/>
          <w:sz w:val="18"/>
          <w:szCs w:val="18"/>
        </w:rPr>
        <w:t>2013</w:t>
      </w:r>
      <w:r>
        <w:rPr>
          <w:sz w:val="18"/>
          <w:szCs w:val="18"/>
        </w:rPr>
        <w:t xml:space="preserve">, </w:t>
      </w:r>
      <w:r w:rsidRPr="00931B2E">
        <w:rPr>
          <w:i/>
          <w:sz w:val="18"/>
          <w:szCs w:val="18"/>
        </w:rPr>
        <w:t>4</w:t>
      </w:r>
      <w:r w:rsidRPr="00931B2E">
        <w:rPr>
          <w:sz w:val="18"/>
          <w:szCs w:val="18"/>
        </w:rPr>
        <w:t>, 4181.</w:t>
      </w:r>
    </w:p>
    <w:p w:rsidR="00931B2E" w:rsidRPr="00931B2E" w:rsidRDefault="00931B2E" w:rsidP="00931B2E">
      <w:pPr>
        <w:pStyle w:val="a5"/>
        <w:numPr>
          <w:ilvl w:val="0"/>
          <w:numId w:val="3"/>
        </w:numPr>
        <w:tabs>
          <w:tab w:val="left" w:pos="384"/>
        </w:tabs>
        <w:spacing w:before="103" w:line="216" w:lineRule="exact"/>
        <w:ind w:right="138"/>
        <w:rPr>
          <w:sz w:val="18"/>
          <w:szCs w:val="18"/>
        </w:rPr>
      </w:pPr>
      <w:proofErr w:type="spellStart"/>
      <w:r w:rsidRPr="00931B2E">
        <w:rPr>
          <w:sz w:val="18"/>
          <w:szCs w:val="18"/>
        </w:rPr>
        <w:t>Nakatsuji</w:t>
      </w:r>
      <w:proofErr w:type="spellEnd"/>
      <w:r w:rsidRPr="00931B2E">
        <w:rPr>
          <w:sz w:val="18"/>
          <w:szCs w:val="18"/>
        </w:rPr>
        <w:t>, H.</w:t>
      </w:r>
      <w:r>
        <w:rPr>
          <w:sz w:val="18"/>
          <w:szCs w:val="18"/>
        </w:rPr>
        <w:t>;</w:t>
      </w:r>
      <w:r w:rsidRPr="00931B2E">
        <w:rPr>
          <w:sz w:val="18"/>
          <w:szCs w:val="18"/>
        </w:rPr>
        <w:t xml:space="preserve"> </w:t>
      </w:r>
      <w:proofErr w:type="spellStart"/>
      <w:r w:rsidRPr="00931B2E">
        <w:rPr>
          <w:sz w:val="18"/>
          <w:szCs w:val="18"/>
        </w:rPr>
        <w:t>Sawamura</w:t>
      </w:r>
      <w:proofErr w:type="spellEnd"/>
      <w:r w:rsidRPr="00931B2E">
        <w:rPr>
          <w:sz w:val="18"/>
          <w:szCs w:val="18"/>
        </w:rPr>
        <w:t>, Y.</w:t>
      </w:r>
      <w:r>
        <w:rPr>
          <w:sz w:val="18"/>
          <w:szCs w:val="18"/>
        </w:rPr>
        <w:t>;</w:t>
      </w:r>
      <w:r w:rsidRPr="00931B2E">
        <w:rPr>
          <w:sz w:val="18"/>
          <w:szCs w:val="18"/>
        </w:rPr>
        <w:t xml:space="preserve"> </w:t>
      </w:r>
      <w:proofErr w:type="spellStart"/>
      <w:r>
        <w:rPr>
          <w:sz w:val="18"/>
          <w:szCs w:val="18"/>
        </w:rPr>
        <w:t>Sakakura</w:t>
      </w:r>
      <w:proofErr w:type="spellEnd"/>
      <w:r>
        <w:rPr>
          <w:sz w:val="18"/>
          <w:szCs w:val="18"/>
        </w:rPr>
        <w:t>,</w:t>
      </w:r>
      <w:r w:rsidRPr="00931B2E">
        <w:rPr>
          <w:sz w:val="18"/>
          <w:szCs w:val="18"/>
        </w:rPr>
        <w:t xml:space="preserve"> A.</w:t>
      </w:r>
      <w:r>
        <w:rPr>
          <w:sz w:val="18"/>
          <w:szCs w:val="18"/>
        </w:rPr>
        <w:t>;</w:t>
      </w:r>
      <w:r w:rsidRPr="00931B2E">
        <w:rPr>
          <w:sz w:val="18"/>
          <w:szCs w:val="18"/>
        </w:rPr>
        <w:t xml:space="preserve"> Ishihara, K. </w:t>
      </w:r>
      <w:proofErr w:type="spellStart"/>
      <w:r w:rsidRPr="00931B2E">
        <w:rPr>
          <w:i/>
          <w:sz w:val="18"/>
          <w:szCs w:val="18"/>
        </w:rPr>
        <w:t>Angew</w:t>
      </w:r>
      <w:proofErr w:type="spellEnd"/>
      <w:r w:rsidRPr="00931B2E">
        <w:rPr>
          <w:i/>
          <w:sz w:val="18"/>
          <w:szCs w:val="18"/>
        </w:rPr>
        <w:t>. Chem., Int. Ed.</w:t>
      </w:r>
      <w:r>
        <w:rPr>
          <w:sz w:val="18"/>
          <w:szCs w:val="18"/>
        </w:rPr>
        <w:t xml:space="preserve"> </w:t>
      </w:r>
      <w:r w:rsidRPr="00931B2E">
        <w:rPr>
          <w:b/>
          <w:sz w:val="18"/>
          <w:szCs w:val="18"/>
        </w:rPr>
        <w:t>2014</w:t>
      </w:r>
      <w:r>
        <w:rPr>
          <w:sz w:val="18"/>
          <w:szCs w:val="18"/>
        </w:rPr>
        <w:t>,</w:t>
      </w:r>
      <w:r w:rsidRPr="00931B2E">
        <w:rPr>
          <w:sz w:val="18"/>
          <w:szCs w:val="18"/>
        </w:rPr>
        <w:t xml:space="preserve"> </w:t>
      </w:r>
      <w:r w:rsidRPr="00931B2E">
        <w:rPr>
          <w:i/>
          <w:sz w:val="18"/>
          <w:szCs w:val="18"/>
        </w:rPr>
        <w:t>53</w:t>
      </w:r>
      <w:r w:rsidRPr="00931B2E">
        <w:rPr>
          <w:sz w:val="18"/>
          <w:szCs w:val="18"/>
        </w:rPr>
        <w:t>, 6974</w:t>
      </w:r>
      <w:r>
        <w:rPr>
          <w:sz w:val="18"/>
          <w:szCs w:val="18"/>
        </w:rPr>
        <w:t>.</w:t>
      </w:r>
    </w:p>
    <w:p w:rsidR="00322B56" w:rsidRDefault="00322B56" w:rsidP="00322B56">
      <w:pPr>
        <w:pStyle w:val="a5"/>
        <w:numPr>
          <w:ilvl w:val="0"/>
          <w:numId w:val="3"/>
        </w:numPr>
        <w:tabs>
          <w:tab w:val="left" w:pos="384"/>
        </w:tabs>
        <w:spacing w:before="103" w:line="216" w:lineRule="exact"/>
        <w:ind w:right="138" w:hanging="283"/>
        <w:rPr>
          <w:sz w:val="18"/>
          <w:szCs w:val="18"/>
        </w:rPr>
      </w:pPr>
      <w:proofErr w:type="spellStart"/>
      <w:r w:rsidRPr="00560FE7">
        <w:rPr>
          <w:sz w:val="18"/>
          <w:szCs w:val="18"/>
        </w:rPr>
        <w:t>Ashida</w:t>
      </w:r>
      <w:proofErr w:type="spellEnd"/>
      <w:r w:rsidRPr="00560FE7">
        <w:rPr>
          <w:sz w:val="18"/>
          <w:szCs w:val="18"/>
        </w:rPr>
        <w:t xml:space="preserve">, Y.; Sato, Y.; Suzuki, T.; Ueno, K.; Kai, K.; </w:t>
      </w:r>
      <w:proofErr w:type="spellStart"/>
      <w:r w:rsidRPr="00560FE7">
        <w:rPr>
          <w:sz w:val="18"/>
          <w:szCs w:val="18"/>
        </w:rPr>
        <w:t>Nakatsuji</w:t>
      </w:r>
      <w:proofErr w:type="spellEnd"/>
      <w:r w:rsidRPr="00560FE7">
        <w:rPr>
          <w:sz w:val="18"/>
          <w:szCs w:val="18"/>
        </w:rPr>
        <w:t xml:space="preserve">, H.; Tanabe, Y. </w:t>
      </w:r>
      <w:r w:rsidRPr="00560FE7">
        <w:rPr>
          <w:i/>
          <w:sz w:val="18"/>
          <w:szCs w:val="18"/>
        </w:rPr>
        <w:t>Chem. Eur. J.</w:t>
      </w:r>
      <w:r w:rsidRPr="00560FE7">
        <w:rPr>
          <w:sz w:val="18"/>
          <w:szCs w:val="18"/>
        </w:rPr>
        <w:t xml:space="preserve"> </w:t>
      </w:r>
      <w:r w:rsidRPr="00560FE7">
        <w:rPr>
          <w:b/>
          <w:sz w:val="18"/>
          <w:szCs w:val="18"/>
        </w:rPr>
        <w:t>2015</w:t>
      </w:r>
      <w:r w:rsidRPr="00560FE7">
        <w:rPr>
          <w:sz w:val="18"/>
          <w:szCs w:val="18"/>
        </w:rPr>
        <w:t xml:space="preserve">, </w:t>
      </w:r>
      <w:r w:rsidRPr="00560FE7">
        <w:rPr>
          <w:i/>
          <w:sz w:val="18"/>
          <w:szCs w:val="18"/>
        </w:rPr>
        <w:t>21</w:t>
      </w:r>
      <w:r w:rsidRPr="00560FE7">
        <w:rPr>
          <w:sz w:val="18"/>
          <w:szCs w:val="18"/>
        </w:rPr>
        <w:t>, 5934.</w:t>
      </w:r>
    </w:p>
    <w:p w:rsidR="00E02016" w:rsidRPr="00322B56" w:rsidRDefault="00BF692D" w:rsidP="00BF692D">
      <w:pPr>
        <w:pStyle w:val="a5"/>
        <w:numPr>
          <w:ilvl w:val="0"/>
          <w:numId w:val="3"/>
        </w:numPr>
        <w:tabs>
          <w:tab w:val="left" w:pos="384"/>
        </w:tabs>
        <w:spacing w:before="103" w:line="216" w:lineRule="exact"/>
        <w:ind w:right="138"/>
        <w:rPr>
          <w:sz w:val="18"/>
          <w:szCs w:val="18"/>
        </w:rPr>
      </w:pPr>
      <w:proofErr w:type="spellStart"/>
      <w:r w:rsidRPr="00BF692D">
        <w:rPr>
          <w:sz w:val="18"/>
          <w:szCs w:val="18"/>
        </w:rPr>
        <w:t>Nakatsuji</w:t>
      </w:r>
      <w:proofErr w:type="spellEnd"/>
      <w:r w:rsidRPr="00BF692D">
        <w:rPr>
          <w:sz w:val="18"/>
          <w:szCs w:val="18"/>
        </w:rPr>
        <w:t xml:space="preserve">, </w:t>
      </w:r>
      <w:r w:rsidRPr="00BF692D">
        <w:rPr>
          <w:sz w:val="18"/>
          <w:szCs w:val="18"/>
        </w:rPr>
        <w:t>H.</w:t>
      </w:r>
      <w:r>
        <w:rPr>
          <w:sz w:val="18"/>
          <w:szCs w:val="18"/>
        </w:rPr>
        <w:t>;</w:t>
      </w:r>
      <w:r w:rsidRPr="00BF692D">
        <w:rPr>
          <w:sz w:val="18"/>
          <w:szCs w:val="18"/>
        </w:rPr>
        <w:t xml:space="preserve"> </w:t>
      </w:r>
      <w:proofErr w:type="spellStart"/>
      <w:r w:rsidRPr="00BF692D">
        <w:rPr>
          <w:sz w:val="18"/>
          <w:szCs w:val="18"/>
        </w:rPr>
        <w:t>Ashida</w:t>
      </w:r>
      <w:proofErr w:type="spellEnd"/>
      <w:r w:rsidRPr="00BF692D">
        <w:rPr>
          <w:sz w:val="18"/>
          <w:szCs w:val="18"/>
        </w:rPr>
        <w:t xml:space="preserve">, </w:t>
      </w:r>
      <w:r w:rsidRPr="00BF692D">
        <w:rPr>
          <w:sz w:val="18"/>
          <w:szCs w:val="18"/>
        </w:rPr>
        <w:t>Y.</w:t>
      </w:r>
      <w:r>
        <w:rPr>
          <w:sz w:val="18"/>
          <w:szCs w:val="18"/>
        </w:rPr>
        <w:t>;</w:t>
      </w:r>
      <w:r w:rsidRPr="00BF692D">
        <w:rPr>
          <w:sz w:val="18"/>
          <w:szCs w:val="18"/>
        </w:rPr>
        <w:t xml:space="preserve"> Hori, </w:t>
      </w:r>
      <w:r w:rsidRPr="00BF692D">
        <w:rPr>
          <w:sz w:val="18"/>
          <w:szCs w:val="18"/>
        </w:rPr>
        <w:t>H.</w:t>
      </w:r>
      <w:r>
        <w:rPr>
          <w:sz w:val="18"/>
          <w:szCs w:val="18"/>
        </w:rPr>
        <w:t>;</w:t>
      </w:r>
      <w:r w:rsidRPr="00BF692D">
        <w:rPr>
          <w:sz w:val="18"/>
          <w:szCs w:val="18"/>
        </w:rPr>
        <w:t xml:space="preserve"> Sato, </w:t>
      </w:r>
      <w:r w:rsidRPr="00BF692D">
        <w:rPr>
          <w:sz w:val="18"/>
          <w:szCs w:val="18"/>
        </w:rPr>
        <w:t>Y.</w:t>
      </w:r>
      <w:r>
        <w:rPr>
          <w:sz w:val="18"/>
          <w:szCs w:val="18"/>
        </w:rPr>
        <w:t>;</w:t>
      </w:r>
      <w:r w:rsidRPr="00BF692D">
        <w:rPr>
          <w:sz w:val="18"/>
          <w:szCs w:val="18"/>
        </w:rPr>
        <w:t xml:space="preserve"> </w:t>
      </w:r>
      <w:r w:rsidRPr="00BF692D">
        <w:rPr>
          <w:sz w:val="18"/>
          <w:szCs w:val="18"/>
        </w:rPr>
        <w:t>Honda,</w:t>
      </w:r>
      <w:r w:rsidRPr="00BF692D">
        <w:rPr>
          <w:sz w:val="18"/>
          <w:szCs w:val="18"/>
        </w:rPr>
        <w:t xml:space="preserve"> A.</w:t>
      </w:r>
      <w:r>
        <w:rPr>
          <w:sz w:val="18"/>
          <w:szCs w:val="18"/>
        </w:rPr>
        <w:t>;</w:t>
      </w:r>
      <w:r w:rsidRPr="00BF692D">
        <w:rPr>
          <w:sz w:val="18"/>
          <w:szCs w:val="18"/>
        </w:rPr>
        <w:t xml:space="preserve"> </w:t>
      </w:r>
      <w:proofErr w:type="spellStart"/>
      <w:r w:rsidRPr="00BF692D">
        <w:rPr>
          <w:sz w:val="18"/>
          <w:szCs w:val="18"/>
        </w:rPr>
        <w:t>Taira</w:t>
      </w:r>
      <w:proofErr w:type="spellEnd"/>
      <w:r w:rsidRPr="00BF692D">
        <w:rPr>
          <w:sz w:val="18"/>
          <w:szCs w:val="18"/>
        </w:rPr>
        <w:t xml:space="preserve">, </w:t>
      </w:r>
      <w:r w:rsidRPr="00BF692D">
        <w:rPr>
          <w:sz w:val="18"/>
          <w:szCs w:val="18"/>
        </w:rPr>
        <w:t>M.</w:t>
      </w:r>
      <w:r>
        <w:rPr>
          <w:sz w:val="18"/>
          <w:szCs w:val="18"/>
        </w:rPr>
        <w:t>;</w:t>
      </w:r>
      <w:r w:rsidRPr="00BF692D">
        <w:rPr>
          <w:sz w:val="18"/>
          <w:szCs w:val="18"/>
        </w:rPr>
        <w:t xml:space="preserve"> Tanabe, </w:t>
      </w:r>
      <w:r w:rsidRPr="00BF692D">
        <w:rPr>
          <w:sz w:val="18"/>
          <w:szCs w:val="18"/>
        </w:rPr>
        <w:t>Y.</w:t>
      </w:r>
      <w:r w:rsidRPr="00BF692D">
        <w:rPr>
          <w:sz w:val="18"/>
          <w:szCs w:val="18"/>
        </w:rPr>
        <w:t xml:space="preserve"> </w:t>
      </w:r>
      <w:r w:rsidRPr="00BF692D">
        <w:rPr>
          <w:i/>
          <w:sz w:val="18"/>
          <w:szCs w:val="18"/>
        </w:rPr>
        <w:t>Org. Biomol. Chem.</w:t>
      </w:r>
      <w:r>
        <w:rPr>
          <w:sz w:val="18"/>
          <w:szCs w:val="18"/>
        </w:rPr>
        <w:t xml:space="preserve"> </w:t>
      </w:r>
      <w:r w:rsidRPr="00BF692D">
        <w:rPr>
          <w:b/>
          <w:sz w:val="18"/>
          <w:szCs w:val="18"/>
        </w:rPr>
        <w:t>2015</w:t>
      </w:r>
      <w:r>
        <w:rPr>
          <w:sz w:val="18"/>
          <w:szCs w:val="18"/>
        </w:rPr>
        <w:t>,</w:t>
      </w:r>
      <w:r w:rsidRPr="00BF692D">
        <w:rPr>
          <w:sz w:val="18"/>
          <w:szCs w:val="18"/>
        </w:rPr>
        <w:t xml:space="preserve"> </w:t>
      </w:r>
      <w:r w:rsidRPr="00BF692D">
        <w:rPr>
          <w:i/>
          <w:sz w:val="18"/>
          <w:szCs w:val="18"/>
        </w:rPr>
        <w:t>13</w:t>
      </w:r>
      <w:r>
        <w:rPr>
          <w:sz w:val="18"/>
          <w:szCs w:val="18"/>
        </w:rPr>
        <w:t>, 8205</w:t>
      </w:r>
      <w:r w:rsidRPr="00BF692D">
        <w:rPr>
          <w:sz w:val="18"/>
          <w:szCs w:val="18"/>
        </w:rPr>
        <w:t>.</w:t>
      </w:r>
    </w:p>
    <w:p w:rsidR="00322B56" w:rsidRDefault="00560FE7" w:rsidP="00560FE7">
      <w:pPr>
        <w:pStyle w:val="a5"/>
        <w:numPr>
          <w:ilvl w:val="0"/>
          <w:numId w:val="3"/>
        </w:numPr>
        <w:tabs>
          <w:tab w:val="left" w:pos="384"/>
        </w:tabs>
        <w:spacing w:before="103" w:line="216" w:lineRule="exact"/>
        <w:ind w:right="138" w:hanging="283"/>
        <w:rPr>
          <w:sz w:val="18"/>
          <w:szCs w:val="18"/>
        </w:rPr>
      </w:pPr>
      <w:proofErr w:type="spellStart"/>
      <w:r w:rsidRPr="00560FE7">
        <w:rPr>
          <w:sz w:val="18"/>
          <w:szCs w:val="18"/>
        </w:rPr>
        <w:t>Ashida</w:t>
      </w:r>
      <w:proofErr w:type="spellEnd"/>
      <w:r w:rsidRPr="00560FE7">
        <w:rPr>
          <w:sz w:val="18"/>
          <w:szCs w:val="18"/>
        </w:rPr>
        <w:t xml:space="preserve">, Y.; </w:t>
      </w:r>
      <w:proofErr w:type="spellStart"/>
      <w:r w:rsidRPr="00560FE7">
        <w:rPr>
          <w:sz w:val="18"/>
          <w:szCs w:val="18"/>
        </w:rPr>
        <w:t>Nakatsuji</w:t>
      </w:r>
      <w:proofErr w:type="spellEnd"/>
      <w:r w:rsidRPr="00560FE7">
        <w:rPr>
          <w:sz w:val="18"/>
          <w:szCs w:val="18"/>
        </w:rPr>
        <w:t xml:space="preserve">, H.; Tanabe, Y. </w:t>
      </w:r>
      <w:r w:rsidRPr="00560FE7">
        <w:rPr>
          <w:i/>
          <w:sz w:val="18"/>
          <w:szCs w:val="18"/>
        </w:rPr>
        <w:t>Org. Synth</w:t>
      </w:r>
      <w:r w:rsidRPr="00560FE7">
        <w:rPr>
          <w:sz w:val="18"/>
          <w:szCs w:val="18"/>
        </w:rPr>
        <w:t>. under checker’s review.</w:t>
      </w:r>
      <w:r>
        <w:rPr>
          <w:sz w:val="18"/>
          <w:szCs w:val="18"/>
        </w:rPr>
        <w:t xml:space="preserve">  </w:t>
      </w:r>
    </w:p>
    <w:p w:rsidR="00DE6FB8" w:rsidRDefault="00DE6FB8" w:rsidP="00DE6FB8">
      <w:pPr>
        <w:pStyle w:val="a5"/>
        <w:numPr>
          <w:ilvl w:val="0"/>
          <w:numId w:val="3"/>
        </w:numPr>
        <w:tabs>
          <w:tab w:val="left" w:pos="384"/>
        </w:tabs>
        <w:spacing w:before="103" w:line="216" w:lineRule="exact"/>
        <w:ind w:right="138"/>
        <w:rPr>
          <w:sz w:val="18"/>
          <w:szCs w:val="18"/>
        </w:rPr>
      </w:pPr>
      <w:proofErr w:type="spellStart"/>
      <w:r w:rsidRPr="00DE6FB8">
        <w:rPr>
          <w:sz w:val="18"/>
          <w:szCs w:val="18"/>
        </w:rPr>
        <w:t>Ashida</w:t>
      </w:r>
      <w:proofErr w:type="spellEnd"/>
      <w:r w:rsidRPr="00DE6FB8">
        <w:rPr>
          <w:sz w:val="18"/>
          <w:szCs w:val="18"/>
        </w:rPr>
        <w:t xml:space="preserve">, </w:t>
      </w:r>
      <w:r w:rsidRPr="00DE6FB8">
        <w:rPr>
          <w:sz w:val="18"/>
          <w:szCs w:val="18"/>
        </w:rPr>
        <w:t>Y.</w:t>
      </w:r>
      <w:r>
        <w:rPr>
          <w:sz w:val="18"/>
          <w:szCs w:val="18"/>
        </w:rPr>
        <w:t>;</w:t>
      </w:r>
      <w:r w:rsidRPr="00DE6FB8">
        <w:rPr>
          <w:sz w:val="18"/>
          <w:szCs w:val="18"/>
        </w:rPr>
        <w:t xml:space="preserve"> Sato, </w:t>
      </w:r>
      <w:r w:rsidRPr="00DE6FB8">
        <w:rPr>
          <w:sz w:val="18"/>
          <w:szCs w:val="18"/>
        </w:rPr>
        <w:t>Y.</w:t>
      </w:r>
      <w:r>
        <w:rPr>
          <w:sz w:val="18"/>
          <w:szCs w:val="18"/>
        </w:rPr>
        <w:t>;</w:t>
      </w:r>
      <w:r w:rsidRPr="00DE6FB8">
        <w:rPr>
          <w:sz w:val="18"/>
          <w:szCs w:val="18"/>
        </w:rPr>
        <w:t xml:space="preserve"> Honda, </w:t>
      </w:r>
      <w:r w:rsidRPr="00DE6FB8">
        <w:rPr>
          <w:sz w:val="18"/>
          <w:szCs w:val="18"/>
        </w:rPr>
        <w:t>A.</w:t>
      </w:r>
      <w:r>
        <w:rPr>
          <w:sz w:val="18"/>
          <w:szCs w:val="18"/>
        </w:rPr>
        <w:t>;</w:t>
      </w:r>
      <w:r w:rsidRPr="00DE6FB8">
        <w:rPr>
          <w:sz w:val="18"/>
          <w:szCs w:val="18"/>
        </w:rPr>
        <w:t xml:space="preserve"> </w:t>
      </w:r>
      <w:proofErr w:type="spellStart"/>
      <w:r w:rsidRPr="00DE6FB8">
        <w:rPr>
          <w:sz w:val="18"/>
          <w:szCs w:val="18"/>
        </w:rPr>
        <w:t>Nakatsuji</w:t>
      </w:r>
      <w:proofErr w:type="spellEnd"/>
      <w:r w:rsidRPr="00DE6FB8">
        <w:rPr>
          <w:sz w:val="18"/>
          <w:szCs w:val="18"/>
        </w:rPr>
        <w:t xml:space="preserve">, </w:t>
      </w:r>
      <w:r w:rsidRPr="00DE6FB8">
        <w:rPr>
          <w:sz w:val="18"/>
          <w:szCs w:val="18"/>
        </w:rPr>
        <w:t>H.</w:t>
      </w:r>
      <w:r>
        <w:rPr>
          <w:sz w:val="18"/>
          <w:szCs w:val="18"/>
        </w:rPr>
        <w:t>;</w:t>
      </w:r>
      <w:r w:rsidRPr="00DE6FB8">
        <w:rPr>
          <w:sz w:val="18"/>
          <w:szCs w:val="18"/>
        </w:rPr>
        <w:t xml:space="preserve"> Tanabe, </w:t>
      </w:r>
      <w:r w:rsidRPr="00DE6FB8">
        <w:rPr>
          <w:sz w:val="18"/>
          <w:szCs w:val="18"/>
        </w:rPr>
        <w:t>Y.</w:t>
      </w:r>
      <w:r w:rsidRPr="00DE6FB8">
        <w:rPr>
          <w:sz w:val="18"/>
          <w:szCs w:val="18"/>
        </w:rPr>
        <w:t xml:space="preserve"> </w:t>
      </w:r>
      <w:r w:rsidRPr="00DE6FB8">
        <w:rPr>
          <w:i/>
          <w:sz w:val="18"/>
          <w:szCs w:val="18"/>
        </w:rPr>
        <w:t>Synthesis</w:t>
      </w:r>
      <w:r w:rsidRPr="00DE6FB8">
        <w:rPr>
          <w:sz w:val="18"/>
          <w:szCs w:val="18"/>
        </w:rPr>
        <w:t xml:space="preserve"> </w:t>
      </w:r>
      <w:r w:rsidRPr="00DE6FB8">
        <w:rPr>
          <w:b/>
          <w:sz w:val="18"/>
          <w:szCs w:val="18"/>
        </w:rPr>
        <w:t>2016</w:t>
      </w:r>
      <w:r>
        <w:rPr>
          <w:sz w:val="18"/>
          <w:szCs w:val="18"/>
        </w:rPr>
        <w:t xml:space="preserve">, </w:t>
      </w:r>
      <w:r w:rsidRPr="00DE6FB8">
        <w:rPr>
          <w:i/>
          <w:sz w:val="18"/>
          <w:szCs w:val="18"/>
        </w:rPr>
        <w:t>48</w:t>
      </w:r>
      <w:r w:rsidRPr="00DE6FB8">
        <w:rPr>
          <w:sz w:val="18"/>
          <w:szCs w:val="18"/>
        </w:rPr>
        <w:t>, 4072.</w:t>
      </w:r>
    </w:p>
    <w:p w:rsidR="00322B56" w:rsidRPr="00DE6FB8" w:rsidRDefault="00560FE7" w:rsidP="00560FE7">
      <w:pPr>
        <w:pStyle w:val="a5"/>
        <w:numPr>
          <w:ilvl w:val="0"/>
          <w:numId w:val="3"/>
        </w:numPr>
        <w:tabs>
          <w:tab w:val="left" w:pos="384"/>
        </w:tabs>
        <w:spacing w:before="103" w:line="216" w:lineRule="exact"/>
        <w:ind w:right="138" w:hanging="283"/>
        <w:rPr>
          <w:sz w:val="18"/>
          <w:szCs w:val="18"/>
        </w:rPr>
      </w:pPr>
      <w:proofErr w:type="spellStart"/>
      <w:r w:rsidRPr="00560FE7">
        <w:rPr>
          <w:rFonts w:asciiTheme="minorHAnsi" w:hAnsiTheme="minorHAnsi"/>
          <w:sz w:val="18"/>
          <w:szCs w:val="18"/>
        </w:rPr>
        <w:t>Ashida</w:t>
      </w:r>
      <w:proofErr w:type="spellEnd"/>
      <w:r w:rsidRPr="00560FE7">
        <w:rPr>
          <w:rFonts w:asciiTheme="minorHAnsi" w:hAnsiTheme="minorHAnsi"/>
          <w:sz w:val="18"/>
          <w:szCs w:val="18"/>
        </w:rPr>
        <w:t xml:space="preserve">, Y.; Honda, A.; Sato, Y.; </w:t>
      </w:r>
      <w:proofErr w:type="spellStart"/>
      <w:r w:rsidRPr="00560FE7">
        <w:rPr>
          <w:rFonts w:asciiTheme="minorHAnsi" w:hAnsiTheme="minorHAnsi"/>
          <w:sz w:val="18"/>
          <w:szCs w:val="18"/>
        </w:rPr>
        <w:t>Nakatsuji</w:t>
      </w:r>
      <w:proofErr w:type="spellEnd"/>
      <w:r w:rsidRPr="00560FE7">
        <w:rPr>
          <w:rFonts w:asciiTheme="minorHAnsi" w:hAnsiTheme="minorHAnsi"/>
          <w:sz w:val="18"/>
          <w:szCs w:val="18"/>
        </w:rPr>
        <w:t xml:space="preserve">, H.; Tanabe, Y. </w:t>
      </w:r>
      <w:proofErr w:type="spellStart"/>
      <w:r w:rsidRPr="00560FE7">
        <w:rPr>
          <w:rFonts w:asciiTheme="minorHAnsi" w:hAnsiTheme="minorHAnsi"/>
          <w:i/>
          <w:sz w:val="18"/>
          <w:szCs w:val="18"/>
        </w:rPr>
        <w:t>ChemistryOpen</w:t>
      </w:r>
      <w:proofErr w:type="spellEnd"/>
      <w:r w:rsidRPr="00560FE7">
        <w:rPr>
          <w:rFonts w:asciiTheme="minorHAnsi" w:hAnsiTheme="minorHAnsi"/>
          <w:sz w:val="18"/>
          <w:szCs w:val="18"/>
        </w:rPr>
        <w:t xml:space="preserve"> in press.</w:t>
      </w:r>
      <w:r>
        <w:rPr>
          <w:rFonts w:asciiTheme="minorHAnsi" w:hAnsiTheme="minorHAnsi"/>
          <w:sz w:val="18"/>
          <w:szCs w:val="18"/>
        </w:rPr>
        <w:t xml:space="preserve">  </w:t>
      </w:r>
    </w:p>
    <w:p w:rsidR="00AE3E37" w:rsidRPr="00A61379" w:rsidRDefault="00DE6FB8" w:rsidP="00A61379">
      <w:pPr>
        <w:pStyle w:val="a5"/>
        <w:numPr>
          <w:ilvl w:val="0"/>
          <w:numId w:val="3"/>
        </w:numPr>
        <w:tabs>
          <w:tab w:val="left" w:pos="384"/>
        </w:tabs>
        <w:spacing w:before="103" w:line="216" w:lineRule="exact"/>
        <w:ind w:right="138"/>
        <w:rPr>
          <w:sz w:val="18"/>
          <w:szCs w:val="18"/>
        </w:rPr>
      </w:pPr>
      <w:proofErr w:type="spellStart"/>
      <w:r w:rsidRPr="00DE6FB8">
        <w:rPr>
          <w:sz w:val="18"/>
          <w:szCs w:val="18"/>
        </w:rPr>
        <w:t>Ashida</w:t>
      </w:r>
      <w:proofErr w:type="spellEnd"/>
      <w:r w:rsidRPr="00DE6FB8">
        <w:rPr>
          <w:sz w:val="18"/>
          <w:szCs w:val="18"/>
        </w:rPr>
        <w:t>, Y.</w:t>
      </w:r>
      <w:r>
        <w:rPr>
          <w:sz w:val="18"/>
          <w:szCs w:val="18"/>
        </w:rPr>
        <w:t>;</w:t>
      </w:r>
      <w:r w:rsidRPr="00DE6FB8">
        <w:rPr>
          <w:sz w:val="18"/>
          <w:szCs w:val="18"/>
        </w:rPr>
        <w:t xml:space="preserve"> Sato, Y.</w:t>
      </w:r>
      <w:r>
        <w:rPr>
          <w:sz w:val="18"/>
          <w:szCs w:val="18"/>
        </w:rPr>
        <w:t>;</w:t>
      </w:r>
      <w:r w:rsidRPr="00DE6FB8">
        <w:rPr>
          <w:sz w:val="18"/>
          <w:szCs w:val="18"/>
        </w:rPr>
        <w:t xml:space="preserve"> Honda, A.</w:t>
      </w:r>
      <w:r>
        <w:rPr>
          <w:sz w:val="18"/>
          <w:szCs w:val="18"/>
        </w:rPr>
        <w:t>;</w:t>
      </w:r>
      <w:r w:rsidRPr="00DE6FB8">
        <w:rPr>
          <w:sz w:val="18"/>
          <w:szCs w:val="18"/>
        </w:rPr>
        <w:t xml:space="preserve"> </w:t>
      </w:r>
      <w:proofErr w:type="spellStart"/>
      <w:r w:rsidRPr="00DE6FB8">
        <w:rPr>
          <w:sz w:val="18"/>
          <w:szCs w:val="18"/>
        </w:rPr>
        <w:t>Nakatsuji</w:t>
      </w:r>
      <w:proofErr w:type="spellEnd"/>
      <w:r w:rsidRPr="00DE6FB8">
        <w:rPr>
          <w:sz w:val="18"/>
          <w:szCs w:val="18"/>
        </w:rPr>
        <w:t>, H.</w:t>
      </w:r>
      <w:r>
        <w:rPr>
          <w:sz w:val="18"/>
          <w:szCs w:val="18"/>
        </w:rPr>
        <w:t>;</w:t>
      </w:r>
      <w:r w:rsidRPr="00DE6FB8">
        <w:rPr>
          <w:sz w:val="18"/>
          <w:szCs w:val="18"/>
        </w:rPr>
        <w:t xml:space="preserve"> Tanabe, Y. </w:t>
      </w:r>
      <w:proofErr w:type="spellStart"/>
      <w:r w:rsidRPr="00DE6FB8">
        <w:rPr>
          <w:i/>
          <w:sz w:val="18"/>
          <w:szCs w:val="18"/>
        </w:rPr>
        <w:t>Syn</w:t>
      </w:r>
      <w:r>
        <w:rPr>
          <w:i/>
          <w:sz w:val="18"/>
          <w:szCs w:val="18"/>
        </w:rPr>
        <w:t>form</w:t>
      </w:r>
      <w:proofErr w:type="spellEnd"/>
      <w:r w:rsidRPr="00DE6FB8">
        <w:rPr>
          <w:sz w:val="18"/>
          <w:szCs w:val="18"/>
        </w:rPr>
        <w:t xml:space="preserve"> </w:t>
      </w:r>
      <w:r>
        <w:rPr>
          <w:sz w:val="18"/>
          <w:szCs w:val="18"/>
        </w:rPr>
        <w:t xml:space="preserve">in press </w:t>
      </w:r>
      <w:r w:rsidRPr="00DE6FB8">
        <w:rPr>
          <w:sz w:val="18"/>
          <w:szCs w:val="18"/>
        </w:rPr>
        <w:t>(invited)</w:t>
      </w:r>
      <w:r w:rsidRPr="00DE6FB8">
        <w:rPr>
          <w:sz w:val="18"/>
          <w:szCs w:val="18"/>
        </w:rPr>
        <w:t>.</w:t>
      </w:r>
    </w:p>
    <w:p w:rsidR="00AE3E37" w:rsidRDefault="00AE3E37">
      <w:pPr>
        <w:spacing w:line="200" w:lineRule="exact"/>
        <w:jc w:val="both"/>
        <w:rPr>
          <w:rFonts w:ascii="Calibri" w:hAnsi="Calibri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</w:p>
    <w:p w:rsidR="00AE3E37" w:rsidRDefault="00AE3E37">
      <w:pPr>
        <w:pStyle w:val="a3"/>
        <w:rPr>
          <w:rFonts w:ascii="Calibri"/>
          <w:sz w:val="20"/>
        </w:rPr>
      </w:pPr>
    </w:p>
    <w:p w:rsidR="00AE3E37" w:rsidRDefault="00292ED9">
      <w:pPr>
        <w:pStyle w:val="a3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  <w:lang w:eastAsia="ja-JP"/>
        </w:rPr>
        <mc:AlternateContent>
          <mc:Choice Requires="wpg">
            <w:drawing>
              <wp:inline distT="0" distB="0" distL="0" distR="0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0EF9488"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">
                <v:line id="Line 5" o:spid="_x0000_s1027" style="position:absolute;visibility:visible;mso-wrap-style:square" from="20,20" to="6241,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yHFr8IAAADbAAAADwAAAGRycy9kb3ducmV2LnhtbERPTU8CMRC9k/gfmjHhBi0GiVkoBDVG&#10;jSdQDtwm22G7oZ2ubV3Wf29NTLzNy/uc1WbwTvQUUxtYw2yqQBDXwbTcaPh4f5rcgUgZ2aALTBq+&#10;KcFmfTVaYWXChXfU73MjSginCjXYnLtKylRb8pimoSMu3ClEj7nA2EgT8VLCvZM3Si2kx5ZLg8WO&#10;HizV5/2X16B2nwurHt3rub/P/fHZvc0PbdR6fD1slyAyDflf/Od+MWX+Lfz+Ug6Q6x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zyHFr8IAAADbAAAADwAAAAAAAAAAAAAA&#10;AAChAgAAZHJzL2Rvd25yZXYueG1sUEsFBgAAAAAEAAQA+QAAAJADAAAAAA==&#10;" strokecolor="#004080" strokeweight="2pt"/>
                <w10:anchorlock/>
              </v:group>
            </w:pict>
          </mc:Fallback>
        </mc:AlternateContent>
      </w:r>
    </w:p>
    <w:p w:rsidR="00AE3E37" w:rsidRDefault="008756E6" w:rsidP="00404E5B">
      <w:pPr>
        <w:spacing w:before="92"/>
        <w:ind w:right="4234"/>
        <w:rPr>
          <w:rFonts w:ascii="Arial"/>
        </w:rPr>
      </w:pPr>
      <w:r>
        <w:rPr>
          <w:noProof/>
        </w:rPr>
        <w:t xml:space="preserve">              </w:t>
      </w:r>
      <w:r w:rsidR="00F8133C" w:rsidRPr="00AB038D">
        <w:rPr>
          <w:rFonts w:ascii="Palatino" w:hAnsi="Palatino"/>
          <w:noProof/>
          <w:color w:val="000000"/>
          <w:sz w:val="18"/>
          <w:szCs w:val="18"/>
          <w:lang w:eastAsia="ja-JP"/>
        </w:rPr>
        <w:drawing>
          <wp:inline distT="0" distB="0" distL="0" distR="0" wp14:anchorId="4B3976B0" wp14:editId="768B2808">
            <wp:extent cx="486271" cy="686647"/>
            <wp:effectExtent l="0" t="0" r="9525" b="0"/>
            <wp:docPr id="30" name="図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8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4258" cy="697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9710C">
        <w:rPr>
          <w:rFonts w:ascii="Arial"/>
          <w:color w:val="BF5A14"/>
        </w:rPr>
        <w:t>Biography</w:t>
      </w:r>
      <w:r w:rsidR="00404E5B">
        <w:rPr>
          <w:rFonts w:ascii="Arial"/>
          <w:color w:val="BF5A14"/>
        </w:rPr>
        <w:t xml:space="preserve"> (</w:t>
      </w:r>
      <w:proofErr w:type="gramStart"/>
      <w:r w:rsidR="00404E5B">
        <w:rPr>
          <w:rFonts w:ascii="Arial"/>
          <w:color w:val="BF5A14"/>
        </w:rPr>
        <w:t>150 word</w:t>
      </w:r>
      <w:proofErr w:type="gramEnd"/>
      <w:r w:rsidR="00404E5B">
        <w:rPr>
          <w:rFonts w:ascii="Arial"/>
          <w:color w:val="BF5A14"/>
        </w:rPr>
        <w:t xml:space="preserve"> limit)</w:t>
      </w:r>
    </w:p>
    <w:p w:rsidR="00AE3E37" w:rsidRDefault="00F8133C">
      <w:pPr>
        <w:spacing w:before="41" w:line="154" w:lineRule="exact"/>
        <w:ind w:left="213" w:right="231"/>
        <w:jc w:val="both"/>
        <w:rPr>
          <w:rFonts w:ascii="Arial"/>
          <w:sz w:val="14"/>
        </w:rPr>
      </w:pPr>
      <w:proofErr w:type="spellStart"/>
      <w:r w:rsidRPr="005053BE">
        <w:rPr>
          <w:rFonts w:asciiTheme="majorHAnsi" w:hAnsiTheme="majorHAnsi" w:cs="TimesNewRomanPS-BoldMT"/>
          <w:bCs/>
          <w:sz w:val="15"/>
        </w:rPr>
        <w:t>Hidefumi</w:t>
      </w:r>
      <w:proofErr w:type="spellEnd"/>
      <w:r w:rsidRPr="005053BE">
        <w:rPr>
          <w:rFonts w:asciiTheme="majorHAnsi" w:hAnsiTheme="majorHAnsi" w:cs="TimesNewRomanPS-BoldMT"/>
          <w:bCs/>
          <w:sz w:val="15"/>
        </w:rPr>
        <w:t xml:space="preserve"> </w:t>
      </w:r>
      <w:proofErr w:type="spellStart"/>
      <w:r w:rsidRPr="005053BE">
        <w:rPr>
          <w:rFonts w:asciiTheme="majorHAnsi" w:hAnsiTheme="majorHAnsi" w:cs="TimesNewRomanPS-BoldMT"/>
          <w:bCs/>
          <w:sz w:val="15"/>
        </w:rPr>
        <w:t>Nakatsuji</w:t>
      </w:r>
      <w:proofErr w:type="spellEnd"/>
      <w:r w:rsidRPr="005053BE">
        <w:rPr>
          <w:rFonts w:asciiTheme="majorHAnsi" w:hAnsiTheme="majorHAnsi" w:cs="TimesNewRomanPS-BoldMT"/>
          <w:bCs/>
          <w:sz w:val="15"/>
        </w:rPr>
        <w:t xml:space="preserve"> received his B. S. degree (2005) and his Ph. D. degree (2010) from Kwansei Gakuin University under the direction of Professo</w:t>
      </w:r>
      <w:r>
        <w:rPr>
          <w:rFonts w:asciiTheme="majorHAnsi" w:hAnsiTheme="majorHAnsi" w:cs="TimesNewRomanPS-BoldMT"/>
          <w:bCs/>
          <w:sz w:val="15"/>
        </w:rPr>
        <w:t xml:space="preserve">r Yoo Tanabe.  Immediately, Dr. </w:t>
      </w:r>
      <w:proofErr w:type="spellStart"/>
      <w:r w:rsidRPr="005053BE">
        <w:rPr>
          <w:rFonts w:asciiTheme="majorHAnsi" w:hAnsiTheme="majorHAnsi" w:cs="TimesNewRomanPS-BoldMT"/>
          <w:bCs/>
          <w:sz w:val="15"/>
        </w:rPr>
        <w:t>Nakatsuji</w:t>
      </w:r>
      <w:proofErr w:type="spellEnd"/>
      <w:r w:rsidRPr="005053BE">
        <w:rPr>
          <w:rFonts w:asciiTheme="majorHAnsi" w:hAnsiTheme="majorHAnsi" w:cs="TimesNewRomanPS-BoldMT"/>
          <w:bCs/>
          <w:sz w:val="15"/>
        </w:rPr>
        <w:t xml:space="preserve"> moved to Nagoya University (Professor Kazuaki Ishihara’s group) and studied as JSPS Postdoctoral Fellowship and CREST project researcher until 2014.  Ne</w:t>
      </w:r>
      <w:r w:rsidR="00322B56">
        <w:rPr>
          <w:rFonts w:asciiTheme="majorHAnsi" w:hAnsiTheme="majorHAnsi" w:cs="TimesNewRomanPS-BoldMT"/>
          <w:bCs/>
          <w:sz w:val="15"/>
        </w:rPr>
        <w:t>xt, he was promoted to Assistant</w:t>
      </w:r>
      <w:r w:rsidRPr="005053BE">
        <w:rPr>
          <w:rFonts w:asciiTheme="majorHAnsi" w:hAnsiTheme="majorHAnsi" w:cs="TimesNewRomanPS-BoldMT"/>
          <w:bCs/>
          <w:sz w:val="15"/>
        </w:rPr>
        <w:t xml:space="preserve"> Professor of </w:t>
      </w:r>
      <w:r>
        <w:rPr>
          <w:rFonts w:asciiTheme="majorHAnsi" w:hAnsiTheme="majorHAnsi" w:cs="TimesNewRomanPS-BoldMT"/>
          <w:bCs/>
          <w:sz w:val="15"/>
        </w:rPr>
        <w:t xml:space="preserve">the </w:t>
      </w:r>
      <w:r w:rsidRPr="005053BE">
        <w:rPr>
          <w:rFonts w:asciiTheme="majorHAnsi" w:hAnsiTheme="majorHAnsi" w:cs="TimesNewRomanPS-BoldMT"/>
          <w:bCs/>
          <w:sz w:val="15"/>
        </w:rPr>
        <w:t xml:space="preserve">Tanabe’s group.  His research interests are developments of chiral phosphine and phosphine oxide </w:t>
      </w:r>
      <w:proofErr w:type="spellStart"/>
      <w:r w:rsidRPr="005053BE">
        <w:rPr>
          <w:rFonts w:asciiTheme="majorHAnsi" w:hAnsiTheme="majorHAnsi" w:cs="TimesNewRomanPS-BoldMT"/>
          <w:bCs/>
          <w:sz w:val="15"/>
        </w:rPr>
        <w:t>organocatalysts</w:t>
      </w:r>
      <w:proofErr w:type="spellEnd"/>
      <w:r w:rsidRPr="005053BE">
        <w:rPr>
          <w:rFonts w:asciiTheme="majorHAnsi" w:hAnsiTheme="majorHAnsi" w:cs="TimesNewRomanPS-BoldMT"/>
          <w:bCs/>
          <w:sz w:val="15"/>
        </w:rPr>
        <w:t xml:space="preserve"> for a MCR type cyclization and of condensation reactions for cost-effective reactions directed for process chemistry.</w:t>
      </w:r>
    </w:p>
    <w:p w:rsidR="00AE3E37" w:rsidRDefault="00A9710C">
      <w:pPr>
        <w:spacing w:before="62"/>
        <w:ind w:left="4217" w:right="4235"/>
        <w:jc w:val="center"/>
        <w:rPr>
          <w:rFonts w:ascii="Arial"/>
          <w:sz w:val="14"/>
        </w:rPr>
      </w:pPr>
      <w:r>
        <w:rPr>
          <w:rFonts w:ascii="Arial"/>
          <w:sz w:val="14"/>
        </w:rPr>
        <w:t xml:space="preserve">Email: </w:t>
      </w:r>
      <w:r w:rsidR="00F8133C">
        <w:rPr>
          <w:rFonts w:ascii="Arial"/>
          <w:sz w:val="14"/>
        </w:rPr>
        <w:t xml:space="preserve">nakatsuji@kwansei.ac.jp </w:t>
      </w:r>
    </w:p>
    <w:p w:rsidR="00AE3E37" w:rsidRPr="00F900C1" w:rsidRDefault="00292ED9" w:rsidP="00F900C1">
      <w:pPr>
        <w:pStyle w:val="a3"/>
        <w:spacing w:before="2"/>
        <w:rPr>
          <w:rFonts w:ascii="Arial"/>
          <w:sz w:val="19"/>
        </w:rPr>
      </w:pPr>
      <w:r>
        <w:rPr>
          <w:noProof/>
          <w:lang w:eastAsia="ja-JP"/>
        </w:rPr>
        <mc:AlternateContent>
          <mc:Choice Requires="wps">
            <w:drawing>
              <wp:anchor distT="0" distB="0" distL="0" distR="0" simplePos="0" relativeHeight="1072" behindDoc="0" locked="0" layoutInCell="1" allowOverlap="1">
                <wp:simplePos x="0" y="0"/>
                <wp:positionH relativeFrom="page">
                  <wp:posOffset>2058670</wp:posOffset>
                </wp:positionH>
                <wp:positionV relativeFrom="paragraph">
                  <wp:posOffset>168275</wp:posOffset>
                </wp:positionV>
                <wp:extent cx="3442335" cy="0"/>
                <wp:effectExtent l="10795" t="6985" r="13970" b="12065"/>
                <wp:wrapTopAndBottom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C9176A0" id="Line 3" o:spid="_x0000_s1026" style="position:absolute;left:0;text-align:left;z-index: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" strokecolor="#004080" strokeweight=".5pt">
                <w10:wrap type="topAndBottom" anchorx="page"/>
              </v:line>
            </w:pict>
          </mc:Fallback>
        </mc:AlternateContent>
      </w:r>
    </w:p>
    <w:p w:rsidR="00AE3E37" w:rsidRPr="002109D3" w:rsidRDefault="00931B2E" w:rsidP="002109D3">
      <w:pPr>
        <w:spacing w:before="39"/>
        <w:ind w:left="100"/>
        <w:rPr>
          <w:rFonts w:ascii="Minion Pro"/>
          <w:b/>
          <w:sz w:val="20"/>
        </w:rPr>
        <w:sectPr w:rsidR="00AE3E37" w:rsidRPr="002109D3">
          <w:type w:val="continuous"/>
          <w:pgSz w:w="11910" w:h="16840"/>
          <w:pgMar w:top="1740" w:right="600" w:bottom="840" w:left="620" w:header="720" w:footer="720" w:gutter="0"/>
          <w:cols w:space="720"/>
        </w:sectPr>
      </w:pPr>
      <w:r>
        <w:rPr>
          <w:rFonts w:ascii="Minion Pro"/>
          <w:b/>
          <w:sz w:val="20"/>
        </w:rPr>
        <w:t>Notes/Comment</w:t>
      </w:r>
    </w:p>
    <w:p w:rsidR="00AE3E37" w:rsidRPr="00BB14A5" w:rsidRDefault="00AE3E37" w:rsidP="00A61379">
      <w:pPr>
        <w:pStyle w:val="a3"/>
        <w:spacing w:before="3"/>
        <w:rPr>
          <w:rFonts w:ascii="Minion Pro"/>
        </w:rPr>
      </w:pPr>
    </w:p>
    <w:sectPr w:rsidR="00AE3E37" w:rsidRPr="00BB14A5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C560E" w:rsidRDefault="00AC560E">
      <w:r>
        <w:separator/>
      </w:r>
    </w:p>
  </w:endnote>
  <w:endnote w:type="continuationSeparator" w:id="0">
    <w:p w:rsidR="00AC560E" w:rsidRDefault="00AC560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Times New Roman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Myriad Pro">
    <w:altName w:val="Aria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Palatino">
    <w:altName w:val="Book Antiqua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imesNewRomanPS-BoldMT">
    <w:altName w:val="Times New Roman"/>
    <w:panose1 w:val="00000000000000000000"/>
    <w:charset w:val="4D"/>
    <w:family w:val="roman"/>
    <w:notTrueType/>
    <w:pitch w:val="default"/>
    <w:sig w:usb0="03000000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E3E37" w:rsidRDefault="00292ED9">
    <w:pPr>
      <w:pStyle w:val="a3"/>
      <w:spacing w:line="14" w:lineRule="auto"/>
      <w:rPr>
        <w:sz w:val="20"/>
      </w:rPr>
    </w:pPr>
    <w:r>
      <w:rPr>
        <w:noProof/>
        <w:lang w:eastAsia="ja-JP"/>
      </w:rPr>
      <mc:AlternateContent>
        <mc:Choice Requires="wps">
          <w:drawing>
            <wp:anchor distT="0" distB="0" distL="114300" distR="114300" simplePos="0" relativeHeight="503311928" behindDoc="1" locked="0" layoutInCell="1" allowOverlap="1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:rsidR="00AE3E37" w:rsidRPr="005B3A56" w:rsidRDefault="00A9710C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 xml:space="preserve">ISSN: 2167-0846 JPAR an open access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journa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8" type="#_x0000_t202" style="position:absolute;margin-left:35pt;margin-top:798.8pt;width:168.2pt;height:19.6pt;z-index:-4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:rsidR="00AE3E37" w:rsidRPr="005B3A56" w:rsidRDefault="00A9710C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 xml:space="preserve">ISSN: 2167-0846 JPAR an open access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journa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ja-JP"/>
      </w:rPr>
      <mc:AlternateContent>
        <mc:Choice Requires="wps">
          <w:drawing>
            <wp:anchor distT="0" distB="0" distL="114300" distR="114300" simplePos="0" relativeHeight="503311952" behindDoc="1" locked="0" layoutInCell="1" allowOverlap="1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:rsidR="00AE3E37" w:rsidRPr="005B3A56" w:rsidRDefault="00A9710C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2" o:spid="_x0000_s1029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" filled="f" stroked="f">
              <v:textbox inset="0,0,0,0">
                <w:txbxContent>
                  <w:p w:rsidR="00AE3E37" w:rsidRPr="005B3A56" w:rsidRDefault="00A9710C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:rsidR="00AE3E37" w:rsidRPr="005B3A56" w:rsidRDefault="00A9710C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ja-JP"/>
      </w:rPr>
      <mc:AlternateContent>
        <mc:Choice Requires="wps">
          <w:drawing>
            <wp:anchor distT="0" distB="0" distL="114300" distR="114300" simplePos="0" relativeHeight="503311976" behindDoc="1" locked="0" layoutInCell="1" allowOverlap="1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)</w:t>
                          </w:r>
                        </w:p>
                        <w:p w:rsidR="00AE3E37" w:rsidRPr="005B3A56" w:rsidRDefault="00A9710C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1" o:spid="_x0000_s1030" type="#_x0000_t202" style="position:absolute;margin-left:468.9pt;margin-top:798.8pt;width:91.4pt;height:26.05pt;z-index:-4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)</w:t>
                    </w:r>
                  </w:p>
                  <w:p w:rsidR="00AE3E37" w:rsidRPr="005B3A56" w:rsidRDefault="00A9710C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C560E" w:rsidRDefault="00AC560E">
      <w:r>
        <w:separator/>
      </w:r>
    </w:p>
  </w:footnote>
  <w:footnote w:type="continuationSeparator" w:id="0">
    <w:p w:rsidR="00AC560E" w:rsidRDefault="00AC560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E3E37" w:rsidRDefault="00292ED9">
    <w:pPr>
      <w:pStyle w:val="a3"/>
      <w:spacing w:line="14" w:lineRule="auto"/>
      <w:rPr>
        <w:sz w:val="20"/>
      </w:rPr>
    </w:pPr>
    <w:r>
      <w:rPr>
        <w:noProof/>
        <w:lang w:eastAsia="ja-JP"/>
      </w:rPr>
      <mc:AlternateContent>
        <mc:Choice Requires="wps">
          <w:drawing>
            <wp:anchor distT="0" distB="0" distL="114300" distR="114300" simplePos="0" relativeHeight="503311880" behindDoc="1" locked="0" layoutInCell="1" allowOverlap="1">
              <wp:simplePos x="0" y="0"/>
              <wp:positionH relativeFrom="page">
                <wp:posOffset>5283200</wp:posOffset>
              </wp:positionH>
              <wp:positionV relativeFrom="page">
                <wp:posOffset>330835</wp:posOffset>
              </wp:positionV>
              <wp:extent cx="1832610" cy="220980"/>
              <wp:effectExtent l="0" t="0" r="0" b="635"/>
              <wp:wrapNone/>
              <wp:docPr id="11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32610" cy="2209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before="2" w:line="249" w:lineRule="auto"/>
                            <w:ind w:left="156" w:right="18" w:hanging="137"/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T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Furuta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et al., J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Pai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n Relief 2016, 5:3(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) </w:t>
                          </w:r>
                          <w:hyperlink r:id="rId1">
                            <w:r w:rsidRPr="005B3A56">
                              <w:rPr>
                                <w:rFonts w:ascii="Arial"/>
                                <w:color w:val="FFFFFF" w:themeColor="background1"/>
                                <w:sz w:val="14"/>
                              </w:rPr>
                              <w:t>http://dx.doi.org/10.4172/2167-0846.C1.006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margin-left:416pt;margin-top:26.05pt;width:144.3pt;height:17.4pt;z-index:-4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" filled="f" stroked="f">
              <v:textbox inset="0,0,0,0">
                <w:txbxContent>
                  <w:p w:rsidR="00AE3E37" w:rsidRPr="005B3A56" w:rsidRDefault="00A9710C">
                    <w:pPr>
                      <w:spacing w:before="2" w:line="249" w:lineRule="auto"/>
                      <w:ind w:left="156" w:right="18" w:hanging="137"/>
                      <w:rPr>
                        <w:rFonts w:ascii="Arial"/>
                        <w:color w:val="FFFFFF" w:themeColor="background1"/>
                        <w:sz w:val="14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T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Furuta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 et al., J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Pai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 n Relief 2016, 5:3(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) </w:t>
                    </w:r>
                    <w:hyperlink r:id="rId2">
                      <w:r w:rsidRPr="005B3A56">
                        <w:rPr>
                          <w:rFonts w:ascii="Arial"/>
                          <w:color w:val="FFFFFF" w:themeColor="background1"/>
                          <w:sz w:val="14"/>
                        </w:rPr>
                        <w:t>http://dx.doi.org/10.4172/2167-0846.C1.006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ja-JP"/>
      </w:rPr>
      <mc:AlternateContent>
        <mc:Choice Requires="wps">
          <w:drawing>
            <wp:anchor distT="0" distB="0" distL="114300" distR="114300" simplePos="0" relativeHeight="503311904" behindDoc="1" locked="0" layoutInCell="1" allowOverlap="1">
              <wp:simplePos x="0" y="0"/>
              <wp:positionH relativeFrom="page">
                <wp:posOffset>444500</wp:posOffset>
              </wp:positionH>
              <wp:positionV relativeFrom="page">
                <wp:posOffset>613410</wp:posOffset>
              </wp:positionV>
              <wp:extent cx="6552565" cy="509270"/>
              <wp:effectExtent l="0" t="3810" r="3810" b="1270"/>
              <wp:wrapNone/>
              <wp:docPr id="10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52565" cy="509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pStyle w:val="a3"/>
                            <w:spacing w:line="187" w:lineRule="exact"/>
                            <w:ind w:left="20" w:right="-10"/>
                            <w:rPr>
                              <w:rFonts w:ascii="Myriad Pro"/>
                              <w:color w:val="FFFFFF" w:themeColor="background1"/>
                            </w:rPr>
                          </w:pPr>
                          <w:r w:rsidRPr="005B3A56">
                            <w:rPr>
                              <w:rFonts w:ascii="Myriad Pro"/>
                              <w:color w:val="FFFFFF" w:themeColor="background1"/>
                            </w:rPr>
                            <w:t>International Conference on</w:t>
                          </w:r>
                        </w:p>
                        <w:p w:rsidR="00AE3E37" w:rsidRPr="005B3A56" w:rsidRDefault="00A9710C">
                          <w:pPr>
                            <w:spacing w:line="614" w:lineRule="exact"/>
                            <w:ind w:left="20" w:right="-10"/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52"/>
                            </w:rPr>
                            <w:t xml:space="preserve">Fibromyalgia and Chronic Pain </w:t>
                          </w: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  <w:t>(June 15-16, 2016   Philadelphia, USA)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4" o:spid="_x0000_s1027" type="#_x0000_t202" style="position:absolute;margin-left:35pt;margin-top:48.3pt;width:515.95pt;height:40.1pt;z-index:-4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" filled="f" stroked="f">
              <v:textbox inset="0,0,0,0">
                <w:txbxContent>
                  <w:p w:rsidR="00AE3E37" w:rsidRPr="005B3A56" w:rsidRDefault="00A9710C">
                    <w:pPr>
                      <w:pStyle w:val="a3"/>
                      <w:spacing w:line="187" w:lineRule="exact"/>
                      <w:ind w:left="20" w:right="-10"/>
                      <w:rPr>
                        <w:rFonts w:ascii="Myriad Pro"/>
                        <w:color w:val="FFFFFF" w:themeColor="background1"/>
                      </w:rPr>
                    </w:pPr>
                    <w:r w:rsidRPr="005B3A56">
                      <w:rPr>
                        <w:rFonts w:ascii="Myriad Pro"/>
                        <w:color w:val="FFFFFF" w:themeColor="background1"/>
                      </w:rPr>
                      <w:t>International Conference on</w:t>
                    </w:r>
                  </w:p>
                  <w:p w:rsidR="00AE3E37" w:rsidRPr="005B3A56" w:rsidRDefault="00A9710C">
                    <w:pPr>
                      <w:spacing w:line="614" w:lineRule="exact"/>
                      <w:ind w:left="20" w:right="-10"/>
                      <w:rPr>
                        <w:rFonts w:ascii="Minion Pro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52"/>
                      </w:rPr>
                      <w:t xml:space="preserve">Fibromyalgia and Chronic Pain </w:t>
                    </w:r>
                    <w:r w:rsidRPr="005B3A56">
                      <w:rPr>
                        <w:rFonts w:ascii="Minion Pro"/>
                        <w:color w:val="FFFFFF" w:themeColor="background1"/>
                        <w:sz w:val="24"/>
                      </w:rPr>
                      <w:t>(June 15-16, 2016   Philadelphia, USA)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 w15:restartNumberingAfterBreak="0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90"/>
  <w:bordersDoNotSurroundHeader/>
  <w:bordersDoNotSurroundFooter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3E37"/>
    <w:rsid w:val="00032909"/>
    <w:rsid w:val="00033267"/>
    <w:rsid w:val="00060F0A"/>
    <w:rsid w:val="000A7188"/>
    <w:rsid w:val="000E2911"/>
    <w:rsid w:val="00105A1C"/>
    <w:rsid w:val="00121339"/>
    <w:rsid w:val="00122F61"/>
    <w:rsid w:val="001263DF"/>
    <w:rsid w:val="001B5695"/>
    <w:rsid w:val="002109D3"/>
    <w:rsid w:val="00292ED9"/>
    <w:rsid w:val="002E12AD"/>
    <w:rsid w:val="00322B56"/>
    <w:rsid w:val="00380530"/>
    <w:rsid w:val="003C00B5"/>
    <w:rsid w:val="00404E5B"/>
    <w:rsid w:val="00414F7B"/>
    <w:rsid w:val="00432608"/>
    <w:rsid w:val="004355DC"/>
    <w:rsid w:val="0045662A"/>
    <w:rsid w:val="004749B4"/>
    <w:rsid w:val="00494130"/>
    <w:rsid w:val="004F3523"/>
    <w:rsid w:val="004F58FC"/>
    <w:rsid w:val="00560FE7"/>
    <w:rsid w:val="005973B9"/>
    <w:rsid w:val="005B3A56"/>
    <w:rsid w:val="005C1EAF"/>
    <w:rsid w:val="005C61C2"/>
    <w:rsid w:val="006060CE"/>
    <w:rsid w:val="0063497F"/>
    <w:rsid w:val="00685833"/>
    <w:rsid w:val="00824B01"/>
    <w:rsid w:val="00873DF0"/>
    <w:rsid w:val="008756E6"/>
    <w:rsid w:val="008E2973"/>
    <w:rsid w:val="009131AE"/>
    <w:rsid w:val="00930CD0"/>
    <w:rsid w:val="00931B2E"/>
    <w:rsid w:val="009B2D44"/>
    <w:rsid w:val="009C22BE"/>
    <w:rsid w:val="009F5BBC"/>
    <w:rsid w:val="00A07E82"/>
    <w:rsid w:val="00A61379"/>
    <w:rsid w:val="00A93960"/>
    <w:rsid w:val="00A9710C"/>
    <w:rsid w:val="00AB0C67"/>
    <w:rsid w:val="00AC560E"/>
    <w:rsid w:val="00AD79ED"/>
    <w:rsid w:val="00AE3E37"/>
    <w:rsid w:val="00B21A57"/>
    <w:rsid w:val="00BB14A5"/>
    <w:rsid w:val="00BC3925"/>
    <w:rsid w:val="00BF692D"/>
    <w:rsid w:val="00C33602"/>
    <w:rsid w:val="00CD6F55"/>
    <w:rsid w:val="00DB2EB7"/>
    <w:rsid w:val="00DE3104"/>
    <w:rsid w:val="00DE6FB8"/>
    <w:rsid w:val="00E02016"/>
    <w:rsid w:val="00E410A1"/>
    <w:rsid w:val="00E7469D"/>
    <w:rsid w:val="00EE4244"/>
    <w:rsid w:val="00F47931"/>
    <w:rsid w:val="00F53E28"/>
    <w:rsid w:val="00F72EEA"/>
    <w:rsid w:val="00F8133C"/>
    <w:rsid w:val="00F84CAE"/>
    <w:rsid w:val="00F900C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0896C795"/>
  <w15:docId w15:val="{AF06C5F3-87AF-4293-AA24-8CC18DE81B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1">
    <w:name w:val="heading 1"/>
    <w:basedOn w:val="a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2">
    <w:name w:val="heading 2"/>
    <w:basedOn w:val="a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3">
    <w:name w:val="heading 3"/>
    <w:basedOn w:val="a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CD6F55"/>
    <w:rPr>
      <w:sz w:val="18"/>
      <w:szCs w:val="18"/>
    </w:rPr>
  </w:style>
  <w:style w:type="paragraph" w:styleId="a5">
    <w:name w:val="List Paragraph"/>
    <w:basedOn w:val="a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a"/>
    <w:uiPriority w:val="1"/>
    <w:qFormat/>
    <w:rsid w:val="00CD6F55"/>
  </w:style>
  <w:style w:type="paragraph" w:styleId="a6">
    <w:name w:val="header"/>
    <w:basedOn w:val="a"/>
    <w:link w:val="a7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a7">
    <w:name w:val="ヘッダー (文字)"/>
    <w:basedOn w:val="a0"/>
    <w:link w:val="a6"/>
    <w:uiPriority w:val="99"/>
    <w:rsid w:val="005B3A56"/>
    <w:rPr>
      <w:rFonts w:ascii="Tw Cen MT" w:eastAsia="Tw Cen MT" w:hAnsi="Tw Cen MT" w:cs="Tw Cen MT"/>
    </w:rPr>
  </w:style>
  <w:style w:type="paragraph" w:styleId="a8">
    <w:name w:val="footer"/>
    <w:basedOn w:val="a"/>
    <w:link w:val="a9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a9">
    <w:name w:val="フッター (文字)"/>
    <w:basedOn w:val="a0"/>
    <w:link w:val="a8"/>
    <w:uiPriority w:val="99"/>
    <w:rsid w:val="005B3A56"/>
    <w:rPr>
      <w:rFonts w:ascii="Tw Cen MT" w:eastAsia="Tw Cen MT" w:hAnsi="Tw Cen MT" w:cs="Tw Cen MT"/>
    </w:rPr>
  </w:style>
  <w:style w:type="paragraph" w:styleId="aa">
    <w:name w:val="Balloon Text"/>
    <w:basedOn w:val="a"/>
    <w:link w:val="ab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ab">
    <w:name w:val="吹き出し (文字)"/>
    <w:basedOn w:val="a0"/>
    <w:link w:val="aa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ac">
    <w:name w:val="Hyperlink"/>
    <w:basedOn w:val="a0"/>
    <w:uiPriority w:val="99"/>
    <w:unhideWhenUsed/>
    <w:rsid w:val="008756E6"/>
    <w:rPr>
      <w:color w:val="0000FF" w:themeColor="hyperlink"/>
      <w:u w:val="single"/>
    </w:rPr>
  </w:style>
  <w:style w:type="character" w:customStyle="1" w:styleId="a4">
    <w:name w:val="本文 (文字)"/>
    <w:basedOn w:val="a0"/>
    <w:link w:val="a3"/>
    <w:uiPriority w:val="1"/>
    <w:rsid w:val="005973B9"/>
    <w:rPr>
      <w:rFonts w:ascii="Tw Cen MT" w:eastAsia="Tw Cen MT" w:hAnsi="Tw Cen MT" w:cs="Tw Cen MT"/>
      <w:sz w:val="18"/>
      <w:szCs w:val="18"/>
    </w:rPr>
  </w:style>
  <w:style w:type="paragraph" w:customStyle="1" w:styleId="10">
    <w:name w:val="リスト段落1"/>
    <w:basedOn w:val="a"/>
    <w:rsid w:val="00BB14A5"/>
    <w:pPr>
      <w:ind w:leftChars="400" w:left="840"/>
      <w:jc w:val="both"/>
    </w:pPr>
    <w:rPr>
      <w:rFonts w:ascii="Century" w:eastAsia="ＭＳ 明朝" w:hAnsi="Century" w:cs="Times New Roman"/>
      <w:kern w:val="2"/>
      <w:sz w:val="21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2.emf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oleObject" Target="embeddings/oleObject1.bin"/><Relationship Id="rId5" Type="http://schemas.openxmlformats.org/officeDocument/2006/relationships/webSettings" Target="webSettings.xml"/><Relationship Id="rId10" Type="http://schemas.openxmlformats.org/officeDocument/2006/relationships/image" Target="media/image1.emf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dx.doi.org/10.4172/2167-0846.C1.006" TargetMode="External"/><Relationship Id="rId1" Type="http://schemas.openxmlformats.org/officeDocument/2006/relationships/hyperlink" Target="http://dx.doi.org/10.4172/2167-0846.C1.00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1A4775D-B22F-43C5-8A6A-641E296354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467</TotalTime>
  <Pages>1</Pages>
  <Words>618</Words>
  <Characters>3523</Characters>
  <Application>Microsoft Office Word</Application>
  <DocSecurity>0</DocSecurity>
  <Lines>29</Lines>
  <Paragraphs>8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4133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仲辻秀文</cp:lastModifiedBy>
  <cp:revision>14</cp:revision>
  <cp:lastPrinted>2016-12-29T08:48:00Z</cp:lastPrinted>
  <dcterms:created xsi:type="dcterms:W3CDTF">2016-12-22T02:44:00Z</dcterms:created>
  <dcterms:modified xsi:type="dcterms:W3CDTF">2016-12-29T08:50:00Z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