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41E" w:rsidRDefault="0003241E" w:rsidP="002E1878">
      <w:pPr>
        <w:spacing w:after="0" w:line="240" w:lineRule="auto"/>
        <w:contextualSpacing/>
        <w:rPr>
          <w:rFonts w:ascii="Tw Cen MT" w:eastAsia="Tw Cen MT" w:hAnsi="Tw Cen MT" w:cs="Tw Cen MT"/>
          <w:sz w:val="18"/>
          <w:szCs w:val="18"/>
          <w:lang w:val="en-US"/>
        </w:rPr>
      </w:pPr>
      <w:r w:rsidRPr="002E1878">
        <w:rPr>
          <w:rFonts w:ascii="Tw Cen MT" w:eastAsia="Tw Cen MT" w:hAnsi="Tw Cen MT" w:cs="Tw Cen MT"/>
          <w:sz w:val="18"/>
          <w:szCs w:val="18"/>
          <w:lang w:val="en-US"/>
        </w:rPr>
        <w:t xml:space="preserve">Coherent-synchronized </w:t>
      </w:r>
      <w:r w:rsidR="00F862F6" w:rsidRPr="002E1878">
        <w:rPr>
          <w:rFonts w:ascii="Tw Cen MT" w:eastAsia="Tw Cen MT" w:hAnsi="Tw Cen MT" w:cs="Tw Cen MT"/>
          <w:sz w:val="18"/>
          <w:szCs w:val="18"/>
          <w:lang w:val="en-US"/>
        </w:rPr>
        <w:t>reaction</w:t>
      </w:r>
      <w:r w:rsidR="002E1878">
        <w:rPr>
          <w:rFonts w:ascii="Tw Cen MT" w:eastAsia="Tw Cen MT" w:hAnsi="Tw Cen MT" w:cs="Tw Cen MT"/>
          <w:sz w:val="18"/>
          <w:szCs w:val="18"/>
          <w:lang w:val="en-US"/>
        </w:rPr>
        <w:t xml:space="preserve"> </w:t>
      </w:r>
      <w:r w:rsidR="00F862F6" w:rsidRPr="002E1878">
        <w:rPr>
          <w:rFonts w:ascii="Tw Cen MT" w:eastAsia="Tw Cen MT" w:hAnsi="Tw Cen MT" w:cs="Tw Cen MT"/>
          <w:sz w:val="18"/>
          <w:szCs w:val="18"/>
          <w:lang w:val="en-US"/>
        </w:rPr>
        <w:t xml:space="preserve">of </w:t>
      </w:r>
      <w:r w:rsidRPr="002E1878">
        <w:rPr>
          <w:rFonts w:ascii="Tw Cen MT" w:eastAsia="Tw Cen MT" w:hAnsi="Tw Cen MT" w:cs="Tw Cen MT"/>
          <w:sz w:val="18"/>
          <w:szCs w:val="18"/>
          <w:lang w:val="en-US"/>
        </w:rPr>
        <w:t>oxidation of pyridine "green oxidants" - H</w:t>
      </w:r>
      <w:r w:rsidRPr="002E1878">
        <w:rPr>
          <w:rFonts w:ascii="Tw Cen MT" w:eastAsia="Tw Cen MT" w:hAnsi="Tw Cen MT" w:cs="Tw Cen MT"/>
          <w:sz w:val="18"/>
          <w:szCs w:val="18"/>
          <w:vertAlign w:val="subscript"/>
          <w:lang w:val="en-US"/>
        </w:rPr>
        <w:t>2</w:t>
      </w:r>
      <w:r w:rsidRPr="002E1878">
        <w:rPr>
          <w:rFonts w:ascii="Tw Cen MT" w:eastAsia="Tw Cen MT" w:hAnsi="Tw Cen MT" w:cs="Tw Cen MT"/>
          <w:sz w:val="18"/>
          <w:szCs w:val="18"/>
          <w:lang w:val="en-US"/>
        </w:rPr>
        <w:t>O</w:t>
      </w:r>
      <w:r w:rsidRPr="002E1878">
        <w:rPr>
          <w:rFonts w:ascii="Tw Cen MT" w:eastAsia="Tw Cen MT" w:hAnsi="Tw Cen MT" w:cs="Tw Cen MT"/>
          <w:sz w:val="18"/>
          <w:szCs w:val="18"/>
          <w:vertAlign w:val="subscript"/>
          <w:lang w:val="en-US"/>
        </w:rPr>
        <w:t>2</w:t>
      </w:r>
      <w:r w:rsidRPr="002E1878">
        <w:rPr>
          <w:rFonts w:ascii="Tw Cen MT" w:eastAsia="Tw Cen MT" w:hAnsi="Tw Cen MT" w:cs="Tw Cen MT"/>
          <w:sz w:val="18"/>
          <w:szCs w:val="18"/>
          <w:lang w:val="en-US"/>
        </w:rPr>
        <w:t xml:space="preserve"> and N</w:t>
      </w:r>
      <w:r w:rsidRPr="002E1878">
        <w:rPr>
          <w:rFonts w:ascii="Tw Cen MT" w:eastAsia="Tw Cen MT" w:hAnsi="Tw Cen MT" w:cs="Tw Cen MT"/>
          <w:sz w:val="18"/>
          <w:szCs w:val="18"/>
          <w:vertAlign w:val="subscript"/>
          <w:lang w:val="en-US"/>
        </w:rPr>
        <w:t>2</w:t>
      </w:r>
      <w:r w:rsidRPr="002E1878">
        <w:rPr>
          <w:rFonts w:ascii="Tw Cen MT" w:eastAsia="Tw Cen MT" w:hAnsi="Tw Cen MT" w:cs="Tw Cen MT"/>
          <w:sz w:val="18"/>
          <w:szCs w:val="18"/>
          <w:lang w:val="en-US"/>
        </w:rPr>
        <w:t>O</w:t>
      </w:r>
    </w:p>
    <w:p w:rsidR="002E1878" w:rsidRPr="002E1878" w:rsidRDefault="002E1878" w:rsidP="002E1878">
      <w:pPr>
        <w:spacing w:after="0" w:line="240" w:lineRule="auto"/>
        <w:contextualSpacing/>
        <w:rPr>
          <w:rFonts w:ascii="Tw Cen MT" w:eastAsia="Tw Cen MT" w:hAnsi="Tw Cen MT" w:cs="Tw Cen MT"/>
          <w:sz w:val="16"/>
          <w:szCs w:val="16"/>
          <w:lang w:val="en-US"/>
        </w:rPr>
      </w:pPr>
    </w:p>
    <w:p w:rsidR="00E65411" w:rsidRPr="002E1878" w:rsidRDefault="0003241E" w:rsidP="002E1878">
      <w:pPr>
        <w:tabs>
          <w:tab w:val="left" w:pos="567"/>
        </w:tabs>
        <w:spacing w:before="73" w:after="0" w:line="240" w:lineRule="auto"/>
        <w:contextualSpacing/>
        <w:rPr>
          <w:rFonts w:ascii="Arial" w:eastAsia="Tw Cen MT" w:hAnsi="Tw Cen MT" w:cs="Tw Cen MT"/>
          <w:sz w:val="18"/>
          <w:szCs w:val="18"/>
          <w:lang w:val="en-US"/>
        </w:rPr>
      </w:pPr>
      <w:proofErr w:type="spellStart"/>
      <w:r w:rsidRPr="002E1878">
        <w:rPr>
          <w:rFonts w:ascii="Arial" w:eastAsia="Tw Cen MT" w:hAnsi="Tw Cen MT" w:cs="Tw Cen MT"/>
          <w:sz w:val="18"/>
          <w:szCs w:val="18"/>
          <w:lang w:val="en-US"/>
        </w:rPr>
        <w:t>I.T.</w:t>
      </w:r>
      <w:r w:rsidR="00CC1573" w:rsidRPr="002E1878">
        <w:rPr>
          <w:rFonts w:ascii="Arial" w:eastAsia="Tw Cen MT" w:hAnsi="Tw Cen MT" w:cs="Tw Cen MT"/>
          <w:sz w:val="18"/>
          <w:szCs w:val="18"/>
          <w:lang w:val="en-US"/>
        </w:rPr>
        <w:t>Nagi</w:t>
      </w:r>
      <w:r w:rsidRPr="002E1878">
        <w:rPr>
          <w:rFonts w:ascii="Arial" w:eastAsia="Tw Cen MT" w:hAnsi="Tw Cen MT" w:cs="Tw Cen MT"/>
          <w:sz w:val="18"/>
          <w:szCs w:val="18"/>
          <w:lang w:val="en-US"/>
        </w:rPr>
        <w:t>eva</w:t>
      </w:r>
      <w:proofErr w:type="spellEnd"/>
      <w:r w:rsidR="002E1878">
        <w:rPr>
          <w:rFonts w:ascii="Arial" w:eastAsia="Tw Cen MT" w:hAnsi="Tw Cen MT" w:cs="Tw Cen MT"/>
          <w:sz w:val="18"/>
          <w:szCs w:val="18"/>
          <w:lang w:val="en-US"/>
        </w:rPr>
        <w:t>, Baku State University, Azerbaijan</w:t>
      </w:r>
    </w:p>
    <w:p w:rsidR="002E1878" w:rsidRPr="002E1878" w:rsidRDefault="0003241E" w:rsidP="002E1878">
      <w:pPr>
        <w:spacing w:after="0" w:line="240" w:lineRule="auto"/>
        <w:rPr>
          <w:rFonts w:ascii="Arial" w:eastAsia="Tw Cen MT" w:hAnsi="Tw Cen MT" w:cs="Tw Cen MT"/>
          <w:sz w:val="18"/>
          <w:szCs w:val="18"/>
          <w:lang w:val="en-US"/>
        </w:rPr>
      </w:pPr>
      <w:proofErr w:type="spellStart"/>
      <w:r w:rsidRPr="002E1878">
        <w:rPr>
          <w:rFonts w:ascii="Arial" w:eastAsia="Tw Cen MT" w:hAnsi="Tw Cen MT" w:cs="Tw Cen MT"/>
          <w:sz w:val="18"/>
          <w:szCs w:val="18"/>
          <w:lang w:val="en-US"/>
        </w:rPr>
        <w:t>N.I.Ali-zadeh</w:t>
      </w:r>
      <w:proofErr w:type="spellEnd"/>
      <w:r w:rsidR="002E1878">
        <w:rPr>
          <w:rFonts w:ascii="Arial" w:eastAsia="Tw Cen MT" w:hAnsi="Tw Cen MT" w:cs="Tw Cen MT"/>
          <w:sz w:val="18"/>
          <w:szCs w:val="18"/>
          <w:lang w:val="en-US"/>
        </w:rPr>
        <w:t xml:space="preserve">, </w:t>
      </w:r>
      <w:r w:rsidR="002E1878" w:rsidRPr="002E1878">
        <w:rPr>
          <w:rFonts w:ascii="Arial" w:eastAsia="Tw Cen MT" w:hAnsi="Tw Cen MT" w:cs="Tw Cen MT"/>
          <w:sz w:val="18"/>
          <w:szCs w:val="18"/>
          <w:lang w:val="en-US"/>
        </w:rPr>
        <w:t>Nagiev Institute of Catalysis and Inorganic Chemistry, Azerbaijan</w:t>
      </w:r>
    </w:p>
    <w:p w:rsidR="00053F26" w:rsidRPr="002E1878" w:rsidRDefault="0003241E" w:rsidP="002E1878">
      <w:pPr>
        <w:tabs>
          <w:tab w:val="left" w:pos="567"/>
        </w:tabs>
        <w:spacing w:after="0" w:line="198" w:lineRule="exact"/>
        <w:contextualSpacing/>
        <w:rPr>
          <w:rFonts w:ascii="Arial" w:eastAsia="Tw Cen MT" w:hAnsi="Tw Cen MT" w:cs="Tw Cen MT"/>
          <w:sz w:val="18"/>
          <w:szCs w:val="18"/>
          <w:lang w:val="en-US"/>
        </w:rPr>
      </w:pPr>
      <w:proofErr w:type="spellStart"/>
      <w:r w:rsidRPr="002E1878">
        <w:rPr>
          <w:rFonts w:ascii="Arial" w:eastAsia="Tw Cen MT" w:hAnsi="Tw Cen MT" w:cs="Tw Cen MT"/>
          <w:sz w:val="18"/>
          <w:szCs w:val="18"/>
          <w:lang w:val="en-US"/>
        </w:rPr>
        <w:t>T.M.Nagiev</w:t>
      </w:r>
      <w:proofErr w:type="spellEnd"/>
      <w:r w:rsidR="002E1878">
        <w:rPr>
          <w:rFonts w:ascii="Arial" w:eastAsia="Tw Cen MT" w:hAnsi="Tw Cen MT" w:cs="Tw Cen MT"/>
          <w:sz w:val="18"/>
          <w:szCs w:val="18"/>
          <w:lang w:val="en-US"/>
        </w:rPr>
        <w:t xml:space="preserve">, </w:t>
      </w:r>
      <w:r w:rsidR="002E1878" w:rsidRPr="002E1878">
        <w:rPr>
          <w:rFonts w:ascii="Arial" w:eastAsia="Tw Cen MT" w:hAnsi="Tw Cen MT" w:cs="Tw Cen MT"/>
          <w:sz w:val="18"/>
          <w:szCs w:val="18"/>
          <w:lang w:val="en-US"/>
        </w:rPr>
        <w:t>Nagiev Institute of Catalysis and Inorganic Chemistry, Azerbaijan</w:t>
      </w:r>
    </w:p>
    <w:p w:rsidR="00B10246" w:rsidRPr="002E1878" w:rsidRDefault="00B10246" w:rsidP="00475F50">
      <w:pPr>
        <w:tabs>
          <w:tab w:val="left" w:pos="567"/>
        </w:tabs>
        <w:spacing w:after="0" w:line="240" w:lineRule="auto"/>
        <w:contextualSpacing/>
        <w:rPr>
          <w:rFonts w:ascii="Arial" w:eastAsia="Tw Cen MT" w:hAnsi="Tw Cen MT" w:cs="Tw Cen MT"/>
          <w:sz w:val="18"/>
          <w:szCs w:val="18"/>
          <w:lang w:val="en-US"/>
        </w:rPr>
      </w:pPr>
    </w:p>
    <w:p w:rsidR="004E36A9" w:rsidRDefault="004E36A9">
      <w:pPr>
        <w:rPr>
          <w:rFonts w:ascii="Times New Roman" w:eastAsia="Calibri" w:hAnsi="Times New Roman" w:cs="Times New Roman"/>
          <w:sz w:val="28"/>
          <w:szCs w:val="28"/>
          <w:lang w:val="en-US"/>
        </w:rPr>
        <w:sectPr w:rsidR="004E36A9" w:rsidSect="004E36A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2E1878" w:rsidRPr="002E1878" w:rsidRDefault="002E1878" w:rsidP="0003241E">
      <w:pPr>
        <w:spacing w:after="0"/>
        <w:jc w:val="both"/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</w:pPr>
      <w:r w:rsidRPr="002E1878">
        <w:rPr>
          <w:rFonts w:ascii="Arial" w:eastAsia="Arial" w:hAnsi="Arial" w:cs="Arial"/>
          <w:b/>
          <w:bCs/>
          <w:color w:val="BF5A14"/>
          <w:sz w:val="20"/>
          <w:szCs w:val="20"/>
          <w:lang w:val="en-US"/>
        </w:rPr>
        <w:lastRenderedPageBreak/>
        <w:t xml:space="preserve">Abstract </w:t>
      </w:r>
    </w:p>
    <w:p w:rsidR="0003241E" w:rsidRPr="00CC1573" w:rsidRDefault="0003241E" w:rsidP="0003241E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The methodology developed gas-phase oxidation of various hydrocarbons and their derivatives [1], their reaction with coherent-synchronized decomposition reaction of hydrogen peroxide and nitrous oxide, which generate in an environment highly intermediates - O, OH, HO</w:t>
      </w:r>
      <w:r w:rsidRPr="006C4818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·</w:t>
      </w:r>
      <w:r w:rsidRPr="006C4818">
        <w:rPr>
          <w:rFonts w:ascii="Times New Roman" w:eastAsia="Times New Roman" w:hAnsi="Times New Roman" w:cs="Times New Roman"/>
          <w:sz w:val="18"/>
          <w:szCs w:val="18"/>
          <w:vertAlign w:val="subscript"/>
          <w:lang w:val="en-US" w:eastAsia="ru-RU"/>
        </w:rPr>
        <w:t>2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radicals, yielded a number of practically important compounds, with relatively high yields and selectivity at atmospheric pressure without using special catalysts [2-5].</w:t>
      </w:r>
    </w:p>
    <w:p w:rsidR="0003241E" w:rsidRPr="00CC1573" w:rsidRDefault="0003241E" w:rsidP="0003241E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03241E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This methodology was first used for the selective oxidation of nitrogen-containing heterocyclic compounds. 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As a model reaction used coherent-synchronized oxidation of pyridine</w:t>
      </w:r>
      <w:r w:rsidR="004E36A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|(P)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in the temperature range: hydrogen peroxide (300-500</w:t>
      </w:r>
      <w:r w:rsidRPr="006C4818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ru-RU"/>
        </w:rPr>
        <w:t>0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C) and nitric oxide (530-620</w:t>
      </w:r>
      <w:r w:rsidRPr="006C4818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ru-RU"/>
        </w:rPr>
        <w:t>0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C).</w:t>
      </w:r>
    </w:p>
    <w:p w:rsidR="0003241E" w:rsidRPr="00CC1573" w:rsidRDefault="0003241E" w:rsidP="0003241E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As a result of experimental studies are designed of the scientific bases of synthesis of </w:t>
      </w:r>
      <w:r w:rsidR="006C481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2,2-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oksidipyridyl by oxidation of pyridine with hydrogen peroxide [2,3]. This way the selective production of 2,2-oksydipyrid</w:t>
      </w:r>
      <w:r w:rsidR="006C4818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y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l (fig.1) </w:t>
      </w:r>
      <w:r w:rsidR="00F414BD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is free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from a number of disadvantages inherent in the known methods of catalytic oxidation</w:t>
      </w:r>
      <w:r w:rsidR="00F414BD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 ofpyridine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</w:t>
      </w:r>
    </w:p>
    <w:p w:rsidR="0003241E" w:rsidRPr="00CC1573" w:rsidRDefault="0003241E" w:rsidP="0003241E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Substantial interest undoubtedly presents </w:t>
      </w:r>
      <w:r w:rsidR="007036F8"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 xml:space="preserve">practical important 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synthesis of pyridine bases by the "green oxidant" - nitrous oxide by free-radically mechanism.</w:t>
      </w:r>
    </w:p>
    <w:p w:rsidR="002E1878" w:rsidRDefault="002E1878" w:rsidP="002E1878">
      <w:pPr>
        <w:spacing w:after="0"/>
        <w:jc w:val="center"/>
        <w:rPr>
          <w:rFonts w:ascii="Times New Roman" w:eastAsia="Calibri" w:hAnsi="Times New Roman" w:cs="Times New Roman"/>
          <w:position w:val="-6"/>
          <w:sz w:val="18"/>
          <w:szCs w:val="18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1895282" cy="1627847"/>
            <wp:effectExtent l="19050" t="0" r="0" b="0"/>
            <wp:docPr id="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217" cy="1630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6A9" w:rsidRPr="002E1878" w:rsidRDefault="004E36A9" w:rsidP="004E36A9">
      <w:pPr>
        <w:tabs>
          <w:tab w:val="left" w:pos="142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2E1878"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>Fig.1.</w:t>
      </w:r>
      <w:r>
        <w:rPr>
          <w:rFonts w:ascii="Times New Roman" w:eastAsia="Times New Roman" w:hAnsi="Times New Roman" w:cs="Times New Roman"/>
          <w:b/>
          <w:sz w:val="16"/>
          <w:szCs w:val="16"/>
          <w:lang w:val="en-US" w:eastAsia="ru-RU"/>
        </w:rPr>
        <w:t xml:space="preserve"> </w:t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Effect of temperature on the yield of reac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softHyphen/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tion products: 1 - 2.2-oksidipiridil; 2 -  mole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softHyphen/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cular oxygen; 3 - 2-pyridone; 4 - </w:t>
      </w:r>
      <w:proofErr w:type="spellStart"/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unreacted</w:t>
      </w:r>
      <w:proofErr w:type="spellEnd"/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P.</w:t>
      </w:r>
    </w:p>
    <w:p w:rsidR="004E36A9" w:rsidRDefault="004E36A9" w:rsidP="004E36A9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The concentration of H</w:t>
      </w:r>
      <w:r w:rsidRPr="002E1878">
        <w:rPr>
          <w:rFonts w:ascii="Times New Roman" w:eastAsia="Times New Roman" w:hAnsi="Times New Roman" w:cs="Times New Roman"/>
          <w:sz w:val="16"/>
          <w:szCs w:val="16"/>
          <w:vertAlign w:val="subscript"/>
          <w:lang w:val="en-US" w:eastAsia="ru-RU"/>
        </w:rPr>
        <w:t>2</w:t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</w:t>
      </w:r>
      <w:r w:rsidRPr="002E1878">
        <w:rPr>
          <w:rFonts w:ascii="Times New Roman" w:eastAsia="Times New Roman" w:hAnsi="Times New Roman" w:cs="Times New Roman"/>
          <w:sz w:val="16"/>
          <w:szCs w:val="16"/>
          <w:vertAlign w:val="subscript"/>
          <w:lang w:val="en-US" w:eastAsia="ru-RU"/>
        </w:rPr>
        <w:t>2</w:t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-35wt.%, the feed rate   P-0,47ml/h, the volume ratio of P: H</w:t>
      </w:r>
      <w:r w:rsidRPr="002E1878">
        <w:rPr>
          <w:rFonts w:ascii="Times New Roman" w:eastAsia="Times New Roman" w:hAnsi="Times New Roman" w:cs="Times New Roman"/>
          <w:sz w:val="16"/>
          <w:szCs w:val="16"/>
          <w:vertAlign w:val="subscript"/>
          <w:lang w:val="en-US" w:eastAsia="ru-RU"/>
        </w:rPr>
        <w:t>2</w:t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O</w:t>
      </w:r>
      <w:r w:rsidRPr="002E1878">
        <w:rPr>
          <w:rFonts w:ascii="Times New Roman" w:eastAsia="Times New Roman" w:hAnsi="Times New Roman" w:cs="Times New Roman"/>
          <w:sz w:val="16"/>
          <w:szCs w:val="16"/>
          <w:vertAlign w:val="subscript"/>
          <w:lang w:val="en-US" w:eastAsia="ru-RU"/>
        </w:rPr>
        <w:t>2</w:t>
      </w:r>
      <w:r w:rsidRPr="002E1878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= 1: 3.</w:t>
      </w:r>
    </w:p>
    <w:p w:rsidR="004E36A9" w:rsidRDefault="004E36A9" w:rsidP="004E36A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4E36A9" w:rsidRDefault="004E36A9" w:rsidP="004E36A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Experimental studies have shown that in the temperature range 530-620</w:t>
      </w:r>
      <w:r w:rsidRPr="006C4818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ru-RU"/>
        </w:rPr>
        <w:t>0</w:t>
      </w: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C pyridine occurs selective oxidation reaction with nitrous oxide to form  2,2-dipyridyl (23.0 wt.%) and 2,3-dipyridyl (25.4 wt%) [4,5]</w:t>
      </w:r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.</w:t>
      </w:r>
    </w:p>
    <w:p w:rsidR="004E36A9" w:rsidRDefault="004E36A9" w:rsidP="00172E60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</w:p>
    <w:p w:rsidR="00172E60" w:rsidRDefault="00172E60" w:rsidP="00172E60">
      <w:pPr>
        <w:tabs>
          <w:tab w:val="left" w:pos="0"/>
        </w:tabs>
        <w:spacing w:line="240" w:lineRule="auto"/>
        <w:contextualSpacing/>
        <w:jc w:val="center"/>
        <w:rPr>
          <w:rFonts w:ascii="Times New Roman" w:eastAsia="MS Mincho" w:hAnsi="Times New Roman" w:cs="Times New Roman"/>
          <w:b/>
          <w:sz w:val="16"/>
          <w:szCs w:val="16"/>
          <w:lang w:val="en-US"/>
        </w:rPr>
      </w:pPr>
      <w:r w:rsidRPr="00172E60">
        <w:rPr>
          <w:rFonts w:ascii="Times New Roman" w:eastAsia="MS Mincho" w:hAnsi="Times New Roman" w:cs="Times New Roman"/>
          <w:b/>
          <w:sz w:val="16"/>
          <w:szCs w:val="16"/>
          <w:lang w:val="en-US"/>
        </w:rPr>
        <w:drawing>
          <wp:inline distT="0" distB="0" distL="0" distR="0">
            <wp:extent cx="2063115" cy="1748155"/>
            <wp:effectExtent l="19050" t="0" r="0" b="0"/>
            <wp:docPr id="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74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6A9" w:rsidRDefault="004E36A9" w:rsidP="004E36A9">
      <w:pPr>
        <w:tabs>
          <w:tab w:val="left" w:pos="0"/>
        </w:tabs>
        <w:spacing w:line="240" w:lineRule="auto"/>
        <w:contextualSpacing/>
        <w:rPr>
          <w:rFonts w:ascii="Times New Roman" w:eastAsia="MS Mincho" w:hAnsi="Times New Roman" w:cs="Times New Roman"/>
          <w:sz w:val="16"/>
          <w:szCs w:val="16"/>
          <w:lang w:val="en-US"/>
        </w:rPr>
      </w:pPr>
      <w:r w:rsidRPr="004E36A9">
        <w:rPr>
          <w:rFonts w:ascii="Times New Roman" w:eastAsia="MS Mincho" w:hAnsi="Times New Roman" w:cs="Times New Roman"/>
          <w:b/>
          <w:sz w:val="16"/>
          <w:szCs w:val="16"/>
          <w:lang w:val="en-US"/>
        </w:rPr>
        <w:t xml:space="preserve">Fig.2. </w:t>
      </w:r>
      <w:r w:rsidRPr="004E36A9">
        <w:rPr>
          <w:rFonts w:ascii="Times New Roman" w:eastAsia="MS Mincho" w:hAnsi="Times New Roman" w:cs="Times New Roman"/>
          <w:sz w:val="16"/>
          <w:szCs w:val="16"/>
          <w:lang w:val="en-US"/>
        </w:rPr>
        <w:t>Effect of temperature on the yield of the reaction products (flow rate P - 1.896 ml/hr, N</w:t>
      </w:r>
      <w:r w:rsidRPr="004E36A9">
        <w:rPr>
          <w:rFonts w:ascii="Times New Roman" w:eastAsia="MS Mincho" w:hAnsi="Times New Roman" w:cs="Times New Roman"/>
          <w:sz w:val="16"/>
          <w:szCs w:val="16"/>
          <w:vertAlign w:val="subscript"/>
          <w:lang w:val="en-US"/>
        </w:rPr>
        <w:t>2</w:t>
      </w:r>
      <w:r w:rsidRPr="004E36A9">
        <w:rPr>
          <w:rFonts w:ascii="Times New Roman" w:eastAsia="MS Mincho" w:hAnsi="Times New Roman" w:cs="Times New Roman"/>
          <w:sz w:val="16"/>
          <w:szCs w:val="16"/>
          <w:lang w:val="en-US"/>
        </w:rPr>
        <w:t>O flow rate - 250 ml/hr). 1- 2,2-dipyridyl, 2 - 2,3-dipyridyl.</w:t>
      </w:r>
    </w:p>
    <w:p w:rsidR="004E36A9" w:rsidRPr="004E36A9" w:rsidRDefault="004E36A9" w:rsidP="004E36A9">
      <w:pPr>
        <w:tabs>
          <w:tab w:val="left" w:pos="0"/>
        </w:tabs>
        <w:spacing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</w:p>
    <w:p w:rsidR="004E36A9" w:rsidRDefault="004E36A9" w:rsidP="004E36A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 w:rsidRPr="00CC157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Kinetic curves presented in fig. 1 and 2 clearly show us a unique opportunity to obtain valuable practical pyridine bases, according to the simplified technology.</w:t>
      </w:r>
    </w:p>
    <w:p w:rsidR="004E36A9" w:rsidRDefault="004E36A9" w:rsidP="00CC1573">
      <w:pPr>
        <w:spacing w:line="240" w:lineRule="auto"/>
        <w:ind w:left="142" w:hanging="142"/>
        <w:contextualSpacing/>
        <w:rPr>
          <w:rFonts w:ascii="Arial"/>
          <w:b/>
          <w:color w:val="BF5A14"/>
          <w:sz w:val="20"/>
          <w:lang w:val="en-US"/>
        </w:rPr>
      </w:pPr>
    </w:p>
    <w:p w:rsidR="00CC1573" w:rsidRDefault="004E36A9" w:rsidP="00CC1573">
      <w:pPr>
        <w:spacing w:line="240" w:lineRule="auto"/>
        <w:ind w:left="142" w:hanging="142"/>
        <w:contextualSpacing/>
        <w:rPr>
          <w:rFonts w:ascii="Times New Roman" w:eastAsia="Calibri" w:hAnsi="Times New Roman" w:cs="Times New Roman"/>
          <w:position w:val="-6"/>
          <w:sz w:val="18"/>
          <w:szCs w:val="18"/>
          <w:lang w:val="en-US"/>
        </w:rPr>
      </w:pPr>
      <w:proofErr w:type="spellStart"/>
      <w:r>
        <w:rPr>
          <w:rFonts w:ascii="Arial"/>
          <w:b/>
          <w:color w:val="BF5A14"/>
          <w:sz w:val="20"/>
        </w:rPr>
        <w:t>Recent</w:t>
      </w:r>
      <w:proofErr w:type="spellEnd"/>
      <w:r>
        <w:rPr>
          <w:rFonts w:ascii="Arial"/>
          <w:b/>
          <w:color w:val="BF5A14"/>
          <w:sz w:val="20"/>
        </w:rPr>
        <w:t xml:space="preserve"> </w:t>
      </w:r>
      <w:proofErr w:type="spellStart"/>
      <w:r>
        <w:rPr>
          <w:rFonts w:ascii="Arial"/>
          <w:b/>
          <w:color w:val="BF5A14"/>
          <w:sz w:val="20"/>
        </w:rPr>
        <w:t>Publications</w:t>
      </w:r>
      <w:proofErr w:type="spellEnd"/>
    </w:p>
    <w:p w:rsidR="00B10246" w:rsidRPr="004E36A9" w:rsidRDefault="00CC1573" w:rsidP="004E36A9">
      <w:pPr>
        <w:spacing w:before="103" w:after="0" w:line="240" w:lineRule="auto"/>
        <w:ind w:left="142" w:hanging="142"/>
        <w:contextualSpacing/>
        <w:jc w:val="both"/>
        <w:rPr>
          <w:rFonts w:ascii="Calibri" w:eastAsia="Calibri" w:hAnsi="Calibri" w:cs="Calibri"/>
          <w:sz w:val="18"/>
          <w:lang w:val="en-US"/>
        </w:rPr>
      </w:pPr>
      <w:r w:rsidRPr="004E36A9">
        <w:rPr>
          <w:rFonts w:ascii="Calibri" w:eastAsia="Calibri" w:hAnsi="Calibri" w:cs="Calibri"/>
          <w:sz w:val="18"/>
          <w:lang w:val="en-US"/>
        </w:rPr>
        <w:t>1.</w:t>
      </w:r>
      <w:r w:rsidR="00B10246" w:rsidRPr="004E36A9">
        <w:rPr>
          <w:rFonts w:ascii="Calibri" w:eastAsia="Calibri" w:hAnsi="Calibri" w:cs="Calibri"/>
          <w:sz w:val="18"/>
          <w:lang w:val="en-US"/>
        </w:rPr>
        <w:t xml:space="preserve">Nagiev T.M. Coherent Synchronized Oxidation by Hydrogen Peroxide.Amsterdam:  Elsevier. 2007. 325 р. </w:t>
      </w:r>
    </w:p>
    <w:p w:rsidR="00CC1573" w:rsidRPr="004E36A9" w:rsidRDefault="00CC1573" w:rsidP="00C7003D">
      <w:pPr>
        <w:spacing w:line="240" w:lineRule="auto"/>
        <w:ind w:left="142" w:hanging="142"/>
        <w:contextualSpacing/>
        <w:jc w:val="both"/>
        <w:rPr>
          <w:rFonts w:ascii="Calibri" w:eastAsia="Calibri" w:hAnsi="Calibri" w:cs="Calibri"/>
          <w:sz w:val="18"/>
          <w:lang w:val="en-US"/>
        </w:rPr>
      </w:pPr>
      <w:r w:rsidRPr="004E36A9">
        <w:rPr>
          <w:rFonts w:ascii="Calibri" w:eastAsia="Calibri" w:hAnsi="Calibri" w:cs="Calibri"/>
          <w:sz w:val="18"/>
          <w:lang w:val="en-US"/>
        </w:rPr>
        <w:t xml:space="preserve">2.Ali-zadeh N.I., </w:t>
      </w:r>
      <w:proofErr w:type="spellStart"/>
      <w:r w:rsidRPr="004E36A9">
        <w:rPr>
          <w:rFonts w:ascii="Calibri" w:eastAsia="Calibri" w:hAnsi="Calibri" w:cs="Calibri"/>
          <w:sz w:val="18"/>
          <w:lang w:val="en-US"/>
        </w:rPr>
        <w:t>Nagieva</w:t>
      </w:r>
      <w:proofErr w:type="spellEnd"/>
      <w:r w:rsidRPr="004E36A9">
        <w:rPr>
          <w:rFonts w:ascii="Calibri" w:eastAsia="Calibri" w:hAnsi="Calibri" w:cs="Calibri"/>
          <w:sz w:val="18"/>
          <w:lang w:val="en-US"/>
        </w:rPr>
        <w:t xml:space="preserve"> I.T., </w:t>
      </w:r>
      <w:proofErr w:type="spellStart"/>
      <w:r w:rsidRPr="004E36A9">
        <w:rPr>
          <w:rFonts w:ascii="Calibri" w:eastAsia="Calibri" w:hAnsi="Calibri" w:cs="Calibri"/>
          <w:sz w:val="18"/>
          <w:lang w:val="en-US"/>
        </w:rPr>
        <w:t>Babaeva</w:t>
      </w:r>
      <w:proofErr w:type="spellEnd"/>
      <w:r w:rsidRPr="004E36A9">
        <w:rPr>
          <w:rFonts w:ascii="Calibri" w:eastAsia="Calibri" w:hAnsi="Calibri" w:cs="Calibri"/>
          <w:sz w:val="18"/>
          <w:lang w:val="en-US"/>
        </w:rPr>
        <w:t xml:space="preserve"> B.T., </w:t>
      </w:r>
      <w:proofErr w:type="spellStart"/>
      <w:r w:rsidRPr="004E36A9">
        <w:rPr>
          <w:rFonts w:ascii="Calibri" w:eastAsia="Calibri" w:hAnsi="Calibri" w:cs="Calibri"/>
          <w:sz w:val="18"/>
          <w:lang w:val="en-US"/>
        </w:rPr>
        <w:t>MagerramovA.M</w:t>
      </w:r>
      <w:proofErr w:type="spellEnd"/>
      <w:r w:rsidRPr="004E36A9">
        <w:rPr>
          <w:rFonts w:ascii="Calibri" w:eastAsia="Calibri" w:hAnsi="Calibri" w:cs="Calibri"/>
          <w:sz w:val="18"/>
          <w:lang w:val="en-US"/>
        </w:rPr>
        <w:t>., Nagiev T.M. Oxidation of Pyridine Bases by Hydrogen Peroxide. /Journal of Chemistry and Chemical Engineering (USA). 2011. V.5. №1. P.82-88</w:t>
      </w:r>
    </w:p>
    <w:p w:rsidR="00CC1573" w:rsidRPr="004E36A9" w:rsidRDefault="00CC1573" w:rsidP="00C7003D">
      <w:pPr>
        <w:spacing w:line="240" w:lineRule="auto"/>
        <w:ind w:left="142" w:hanging="142"/>
        <w:contextualSpacing/>
        <w:jc w:val="both"/>
        <w:rPr>
          <w:rFonts w:ascii="Calibri" w:eastAsia="Calibri" w:hAnsi="Calibri" w:cs="Calibri"/>
          <w:sz w:val="18"/>
          <w:lang w:val="en-US"/>
        </w:rPr>
      </w:pPr>
      <w:r w:rsidRPr="004E36A9">
        <w:rPr>
          <w:rFonts w:ascii="Calibri" w:eastAsia="Calibri" w:hAnsi="Calibri" w:cs="Calibri"/>
          <w:sz w:val="18"/>
          <w:lang w:val="en-US"/>
        </w:rPr>
        <w:t xml:space="preserve">3.Ali-zadeh N.I., </w:t>
      </w:r>
      <w:proofErr w:type="spellStart"/>
      <w:r w:rsidR="00C7003D" w:rsidRPr="004E36A9">
        <w:rPr>
          <w:rFonts w:ascii="Calibri" w:eastAsia="Calibri" w:hAnsi="Calibri" w:cs="Calibri"/>
          <w:sz w:val="18"/>
          <w:lang w:val="en-US"/>
        </w:rPr>
        <w:t>Nagieva</w:t>
      </w:r>
      <w:proofErr w:type="spellEnd"/>
      <w:r w:rsidR="00C7003D" w:rsidRPr="004E36A9">
        <w:rPr>
          <w:rFonts w:ascii="Calibri" w:eastAsia="Calibri" w:hAnsi="Calibri" w:cs="Calibri"/>
          <w:sz w:val="18"/>
          <w:lang w:val="en-US"/>
        </w:rPr>
        <w:t xml:space="preserve"> I.T., </w:t>
      </w:r>
      <w:proofErr w:type="spellStart"/>
      <w:r w:rsidR="00C7003D" w:rsidRPr="004E36A9">
        <w:rPr>
          <w:rFonts w:ascii="Calibri" w:eastAsia="Calibri" w:hAnsi="Calibri" w:cs="Calibri"/>
          <w:sz w:val="18"/>
          <w:lang w:val="en-US"/>
        </w:rPr>
        <w:t>Babaeva</w:t>
      </w:r>
      <w:proofErr w:type="spellEnd"/>
      <w:r w:rsidR="00C7003D" w:rsidRPr="004E36A9">
        <w:rPr>
          <w:rFonts w:ascii="Calibri" w:eastAsia="Calibri" w:hAnsi="Calibri" w:cs="Calibri"/>
          <w:sz w:val="18"/>
          <w:lang w:val="en-US"/>
        </w:rPr>
        <w:t xml:space="preserve"> B.T., </w:t>
      </w:r>
      <w:proofErr w:type="spellStart"/>
      <w:r w:rsidR="00C7003D" w:rsidRPr="004E36A9">
        <w:rPr>
          <w:rFonts w:ascii="Calibri" w:eastAsia="Calibri" w:hAnsi="Calibri" w:cs="Calibri"/>
          <w:sz w:val="18"/>
          <w:lang w:val="en-US"/>
        </w:rPr>
        <w:t>NagievT.M</w:t>
      </w:r>
      <w:proofErr w:type="spellEnd"/>
      <w:r w:rsidR="00C7003D" w:rsidRPr="004E36A9">
        <w:rPr>
          <w:rFonts w:ascii="Calibri" w:eastAsia="Calibri" w:hAnsi="Calibri" w:cs="Calibri"/>
          <w:sz w:val="18"/>
          <w:lang w:val="en-US"/>
        </w:rPr>
        <w:t xml:space="preserve">. Coherent-synchronized </w:t>
      </w:r>
      <w:r w:rsidRPr="004E36A9">
        <w:rPr>
          <w:rFonts w:ascii="Calibri" w:eastAsia="Calibri" w:hAnsi="Calibri" w:cs="Calibri"/>
          <w:sz w:val="18"/>
          <w:lang w:val="en-US"/>
        </w:rPr>
        <w:t>oxidation of py</w:t>
      </w:r>
      <w:r w:rsidR="00C7003D" w:rsidRPr="004E36A9">
        <w:rPr>
          <w:rFonts w:ascii="Calibri" w:eastAsia="Calibri" w:hAnsi="Calibri" w:cs="Calibri"/>
          <w:sz w:val="18"/>
          <w:lang w:val="en-US"/>
        </w:rPr>
        <w:t>ridine by hydrogen peroxide. //</w:t>
      </w:r>
      <w:r w:rsidRPr="004E36A9">
        <w:rPr>
          <w:rFonts w:ascii="Calibri" w:eastAsia="Calibri" w:hAnsi="Calibri" w:cs="Calibri"/>
          <w:sz w:val="18"/>
          <w:lang w:val="en-US"/>
        </w:rPr>
        <w:t>17th European Symposium  on Organic Chemistry. (Grete. Greece. 10-15 July.2011).P.1.006.</w:t>
      </w:r>
    </w:p>
    <w:p w:rsidR="00CC1573" w:rsidRPr="004E36A9" w:rsidRDefault="00C7003D" w:rsidP="00C7003D">
      <w:pPr>
        <w:spacing w:line="240" w:lineRule="auto"/>
        <w:ind w:left="142" w:hanging="142"/>
        <w:contextualSpacing/>
        <w:jc w:val="both"/>
        <w:rPr>
          <w:rFonts w:ascii="Calibri" w:eastAsia="Calibri" w:hAnsi="Calibri" w:cs="Calibri"/>
          <w:sz w:val="18"/>
          <w:lang w:val="en-US"/>
        </w:rPr>
      </w:pPr>
      <w:r w:rsidRPr="004E36A9">
        <w:rPr>
          <w:rFonts w:ascii="Calibri" w:eastAsia="Calibri" w:hAnsi="Calibri" w:cs="Calibri"/>
          <w:sz w:val="18"/>
          <w:lang w:val="en-US"/>
        </w:rPr>
        <w:t>4.</w:t>
      </w:r>
      <w:r w:rsidR="00CC1573" w:rsidRPr="004E36A9">
        <w:rPr>
          <w:rFonts w:ascii="Calibri" w:eastAsia="Calibri" w:hAnsi="Calibri" w:cs="Calibri"/>
          <w:sz w:val="18"/>
          <w:lang w:val="en-US"/>
        </w:rPr>
        <w:t>Nagieva I.T. Ali-</w:t>
      </w:r>
      <w:proofErr w:type="spellStart"/>
      <w:r w:rsidR="00CC1573" w:rsidRPr="004E36A9">
        <w:rPr>
          <w:rFonts w:ascii="Calibri" w:eastAsia="Calibri" w:hAnsi="Calibri" w:cs="Calibri"/>
          <w:sz w:val="18"/>
          <w:lang w:val="en-US"/>
        </w:rPr>
        <w:t>zadeh</w:t>
      </w:r>
      <w:proofErr w:type="spellEnd"/>
      <w:r w:rsidR="00CC1573" w:rsidRPr="004E36A9">
        <w:rPr>
          <w:rFonts w:ascii="Calibri" w:eastAsia="Calibri" w:hAnsi="Calibri" w:cs="Calibri"/>
          <w:sz w:val="18"/>
          <w:lang w:val="en-US"/>
        </w:rPr>
        <w:t xml:space="preserve"> N.I., Nagiev T.M. “Green” Oxidation of Pyridine byNitrous Oxide (I). // 6th International IUPAC Conference On Green Chemistry 4-8 September, 2016, </w:t>
      </w:r>
      <w:proofErr w:type="spellStart"/>
      <w:r w:rsidR="00CC1573" w:rsidRPr="004E36A9">
        <w:rPr>
          <w:rFonts w:ascii="Calibri" w:eastAsia="Calibri" w:hAnsi="Calibri" w:cs="Calibri"/>
          <w:sz w:val="18"/>
          <w:lang w:val="en-US"/>
        </w:rPr>
        <w:t>Venezia</w:t>
      </w:r>
      <w:proofErr w:type="spellEnd"/>
      <w:r w:rsidR="00CC1573" w:rsidRPr="004E36A9">
        <w:rPr>
          <w:rFonts w:ascii="Calibri" w:eastAsia="Calibri" w:hAnsi="Calibri" w:cs="Calibri"/>
          <w:sz w:val="18"/>
          <w:lang w:val="en-US"/>
        </w:rPr>
        <w:t>, Italy. p.292.</w:t>
      </w:r>
    </w:p>
    <w:p w:rsidR="004E36A9" w:rsidRDefault="00C7003D" w:rsidP="00C7003D">
      <w:pPr>
        <w:spacing w:line="240" w:lineRule="auto"/>
        <w:ind w:left="142" w:hanging="142"/>
        <w:contextualSpacing/>
        <w:jc w:val="both"/>
        <w:rPr>
          <w:rFonts w:ascii="Calibri" w:eastAsia="Calibri" w:hAnsi="Calibri" w:cs="Calibri"/>
          <w:sz w:val="18"/>
          <w:lang w:val="en-US"/>
        </w:rPr>
      </w:pPr>
      <w:r w:rsidRPr="004E36A9">
        <w:rPr>
          <w:rFonts w:ascii="Calibri" w:eastAsia="Calibri" w:hAnsi="Calibri" w:cs="Calibri"/>
          <w:sz w:val="18"/>
          <w:lang w:val="en-US"/>
        </w:rPr>
        <w:t>5.</w:t>
      </w:r>
      <w:r w:rsidR="00CC1573" w:rsidRPr="004E36A9">
        <w:rPr>
          <w:rFonts w:ascii="Calibri" w:eastAsia="Calibri" w:hAnsi="Calibri" w:cs="Calibri"/>
          <w:sz w:val="18"/>
          <w:lang w:val="en-US"/>
        </w:rPr>
        <w:t>Nagieva I.T. Ali-</w:t>
      </w:r>
      <w:proofErr w:type="spellStart"/>
      <w:r w:rsidR="00CC1573" w:rsidRPr="004E36A9">
        <w:rPr>
          <w:rFonts w:ascii="Calibri" w:eastAsia="Calibri" w:hAnsi="Calibri" w:cs="Calibri"/>
          <w:sz w:val="18"/>
          <w:lang w:val="en-US"/>
        </w:rPr>
        <w:t>zadeh</w:t>
      </w:r>
      <w:proofErr w:type="spellEnd"/>
      <w:r w:rsidR="00CC1573" w:rsidRPr="004E36A9">
        <w:rPr>
          <w:rFonts w:ascii="Calibri" w:eastAsia="Calibri" w:hAnsi="Calibri" w:cs="Calibri"/>
          <w:sz w:val="18"/>
          <w:lang w:val="en-US"/>
        </w:rPr>
        <w:t xml:space="preserve"> N.I., Nagiev T.M. Coherent-Synchronized Oxidation ofPyridine with Nitro</w:t>
      </w:r>
      <w:r w:rsidR="000330AC" w:rsidRPr="004E36A9">
        <w:rPr>
          <w:rFonts w:ascii="Calibri" w:eastAsia="Calibri" w:hAnsi="Calibri" w:cs="Calibri"/>
          <w:sz w:val="18"/>
          <w:lang w:val="en-US"/>
        </w:rPr>
        <w:t>us Oxide to 2,2-and 2,3-dipyridi</w:t>
      </w:r>
      <w:r w:rsidRPr="004E36A9">
        <w:rPr>
          <w:rFonts w:ascii="Calibri" w:eastAsia="Calibri" w:hAnsi="Calibri" w:cs="Calibri"/>
          <w:sz w:val="18"/>
          <w:lang w:val="en-US"/>
        </w:rPr>
        <w:t>l. //</w:t>
      </w:r>
      <w:r w:rsidR="00CC1573" w:rsidRPr="004E36A9">
        <w:rPr>
          <w:rFonts w:ascii="Calibri" w:eastAsia="Calibri" w:hAnsi="Calibri" w:cs="Calibri"/>
          <w:sz w:val="18"/>
          <w:lang w:val="en-US"/>
        </w:rPr>
        <w:t>Journal of Chemistryand Chemical Engineering (USA). 2016. №10. p.99-102.</w:t>
      </w:r>
    </w:p>
    <w:p w:rsidR="004E36A9" w:rsidRDefault="004E36A9">
      <w:pPr>
        <w:rPr>
          <w:rFonts w:ascii="Calibri" w:eastAsia="Calibri" w:hAnsi="Calibri" w:cs="Calibri"/>
          <w:sz w:val="18"/>
          <w:lang w:val="en-US"/>
        </w:rPr>
      </w:pPr>
      <w:r>
        <w:rPr>
          <w:rFonts w:ascii="Calibri" w:eastAsia="Calibri" w:hAnsi="Calibri" w:cs="Calibri"/>
          <w:sz w:val="18"/>
          <w:lang w:val="en-US"/>
        </w:rPr>
        <w:br w:type="page"/>
      </w:r>
    </w:p>
    <w:p w:rsidR="004E36A9" w:rsidRDefault="004E36A9" w:rsidP="004E36A9">
      <w:pPr>
        <w:spacing w:before="92"/>
        <w:ind w:right="4234"/>
        <w:rPr>
          <w:rFonts w:ascii="Arial"/>
          <w:color w:val="BF5A14"/>
          <w:lang w:val="en-US"/>
        </w:rPr>
        <w:sectPr w:rsidR="004E36A9" w:rsidSect="00172E60">
          <w:type w:val="continuous"/>
          <w:pgSz w:w="11910" w:h="16840"/>
          <w:pgMar w:top="1134" w:right="600" w:bottom="840" w:left="620" w:header="720" w:footer="720" w:gutter="0"/>
          <w:cols w:num="2" w:space="720"/>
        </w:sectPr>
      </w:pPr>
    </w:p>
    <w:p w:rsidR="00172E60" w:rsidRDefault="004E36A9" w:rsidP="004E36A9">
      <w:pPr>
        <w:spacing w:before="92"/>
        <w:ind w:right="4234"/>
        <w:rPr>
          <w:rFonts w:ascii="Arial"/>
          <w:color w:val="BF5A14"/>
          <w:lang w:val="en-US"/>
        </w:rPr>
        <w:sectPr w:rsidR="00172E60" w:rsidSect="004E36A9">
          <w:type w:val="continuous"/>
          <w:pgSz w:w="11906" w:h="16838"/>
          <w:pgMar w:top="1134" w:right="567" w:bottom="1134" w:left="567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484922" cy="623455"/>
            <wp:effectExtent l="19050" t="0" r="0" b="0"/>
            <wp:docPr id="4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22" cy="623455"/>
                    </a:xfrm>
                    <a:prstGeom prst="rect">
                      <a:avLst/>
                    </a:prstGeom>
                    <a:blipFill>
                      <a:blip r:embed="rId8"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6A9" w:rsidRPr="004E36A9" w:rsidRDefault="004E36A9" w:rsidP="004E36A9">
      <w:pPr>
        <w:spacing w:before="92"/>
        <w:ind w:right="4234"/>
        <w:rPr>
          <w:rFonts w:ascii="Arial"/>
          <w:lang w:val="en-US"/>
        </w:rPr>
      </w:pPr>
      <w:r w:rsidRPr="004E36A9">
        <w:rPr>
          <w:rFonts w:ascii="Arial"/>
          <w:color w:val="BF5A14"/>
          <w:lang w:val="en-US"/>
        </w:rPr>
        <w:lastRenderedPageBreak/>
        <w:t xml:space="preserve">Biography </w:t>
      </w:r>
    </w:p>
    <w:p w:rsidR="003B2249" w:rsidRPr="003B2249" w:rsidRDefault="003B2249" w:rsidP="003B2249">
      <w:pPr>
        <w:pStyle w:val="a9"/>
        <w:ind w:firstLineChars="100" w:firstLine="140"/>
        <w:jc w:val="both"/>
        <w:rPr>
          <w:rFonts w:ascii="Arial"/>
          <w:sz w:val="14"/>
          <w:lang w:val="en-US"/>
        </w:rPr>
      </w:pPr>
      <w:r>
        <w:rPr>
          <w:rFonts w:ascii="Arial"/>
          <w:sz w:val="14"/>
          <w:lang w:val="en-US"/>
        </w:rPr>
        <w:t>Tofik Nagiev</w:t>
      </w:r>
      <w:r w:rsidRPr="00F5681D">
        <w:rPr>
          <w:rFonts w:ascii="Times New Roman" w:eastAsia="PMingLiU" w:hAnsi="Times New Roman"/>
          <w:sz w:val="16"/>
          <w:szCs w:val="16"/>
          <w:lang w:val="en-US"/>
        </w:rPr>
        <w:t xml:space="preserve"> </w:t>
      </w:r>
      <w:r w:rsidRPr="003B2249">
        <w:rPr>
          <w:rFonts w:ascii="Arial"/>
          <w:sz w:val="14"/>
          <w:lang w:val="en-US"/>
        </w:rPr>
        <w:t xml:space="preserve">is a Vice-president of </w:t>
      </w:r>
      <w:hyperlink r:id="rId9" w:history="1">
        <w:r w:rsidRPr="003B2249">
          <w:rPr>
            <w:rFonts w:ascii="Arial"/>
            <w:sz w:val="14"/>
            <w:lang w:val="en-US"/>
          </w:rPr>
          <w:t>Azerbaijan National Academy of Sciences</w:t>
        </w:r>
      </w:hyperlink>
      <w:r w:rsidRPr="003B2249">
        <w:rPr>
          <w:rFonts w:ascii="Arial"/>
          <w:sz w:val="14"/>
          <w:lang w:val="en-US"/>
        </w:rPr>
        <w:t xml:space="preserve">, Director of Research Center of </w:t>
      </w:r>
      <w:r w:rsidRPr="003B2249">
        <w:rPr>
          <w:rFonts w:ascii="Arial"/>
          <w:sz w:val="14"/>
          <w:lang w:val="en-US"/>
        </w:rPr>
        <w:t>“</w:t>
      </w:r>
      <w:r w:rsidRPr="003B2249">
        <w:rPr>
          <w:rFonts w:ascii="Arial"/>
          <w:sz w:val="14"/>
          <w:lang w:val="en-US"/>
        </w:rPr>
        <w:t>Azerbaijan National Encyclopedia</w:t>
      </w:r>
      <w:r w:rsidRPr="003B2249">
        <w:rPr>
          <w:rFonts w:ascii="Arial"/>
          <w:sz w:val="14"/>
          <w:lang w:val="en-US"/>
        </w:rPr>
        <w:t>”</w:t>
      </w:r>
      <w:r w:rsidRPr="003B2249">
        <w:rPr>
          <w:rFonts w:ascii="Arial"/>
          <w:sz w:val="14"/>
          <w:lang w:val="en-US"/>
        </w:rPr>
        <w:t xml:space="preserve"> and Department chief of Nagiev </w:t>
      </w:r>
      <w:hyperlink r:id="rId10" w:history="1">
        <w:r w:rsidRPr="003B2249">
          <w:rPr>
            <w:rFonts w:ascii="Arial"/>
            <w:sz w:val="14"/>
            <w:lang w:val="en-US"/>
          </w:rPr>
          <w:t>Institute of Catalysis</w:t>
        </w:r>
      </w:hyperlink>
      <w:r w:rsidRPr="003B2249">
        <w:rPr>
          <w:rFonts w:ascii="Arial"/>
          <w:sz w:val="14"/>
          <w:lang w:val="en-US"/>
        </w:rPr>
        <w:t xml:space="preserve"> and inorganic chemistry of ANAS. The Professor of the department of the physical and colloid chemistry of Baku State University. His main publications are listed below:</w:t>
      </w:r>
    </w:p>
    <w:p w:rsidR="003B2249" w:rsidRPr="003B2249" w:rsidRDefault="003B2249" w:rsidP="003B2249">
      <w:pPr>
        <w:pStyle w:val="a9"/>
        <w:numPr>
          <w:ilvl w:val="0"/>
          <w:numId w:val="1"/>
        </w:numPr>
        <w:jc w:val="both"/>
        <w:rPr>
          <w:rFonts w:ascii="Arial"/>
          <w:sz w:val="14"/>
          <w:lang w:val="en-US"/>
        </w:rPr>
      </w:pPr>
      <w:proofErr w:type="spellStart"/>
      <w:r w:rsidRPr="003B2249">
        <w:rPr>
          <w:rFonts w:ascii="Arial"/>
          <w:sz w:val="14"/>
          <w:lang w:val="en-US"/>
        </w:rPr>
        <w:t>M.F.Nagiev</w:t>
      </w:r>
      <w:proofErr w:type="spellEnd"/>
      <w:r w:rsidRPr="003B2249">
        <w:rPr>
          <w:rFonts w:ascii="Arial"/>
          <w:sz w:val="14"/>
          <w:lang w:val="en-US"/>
        </w:rPr>
        <w:t xml:space="preserve"> and </w:t>
      </w:r>
      <w:proofErr w:type="spellStart"/>
      <w:r w:rsidRPr="003B2249">
        <w:rPr>
          <w:rFonts w:ascii="Arial"/>
          <w:sz w:val="14"/>
          <w:lang w:val="en-US"/>
        </w:rPr>
        <w:t>T.M.Nagiev</w:t>
      </w:r>
      <w:proofErr w:type="spellEnd"/>
      <w:r w:rsidRPr="003B2249">
        <w:rPr>
          <w:rFonts w:ascii="Arial"/>
          <w:sz w:val="14"/>
          <w:lang w:val="en-US"/>
        </w:rPr>
        <w:t xml:space="preserve"> "The Conjugate Dehydrogenation of Hydrocarbons", Book: Advances in Chemistry-133, Editor Hugh M. Hulbert, 1974. pp. 137-147, USA.</w:t>
      </w:r>
    </w:p>
    <w:p w:rsidR="003B2249" w:rsidRPr="003B2249" w:rsidRDefault="003B2249" w:rsidP="003B2249">
      <w:pPr>
        <w:pStyle w:val="a6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Calibri" w:hAnsi="Calibri" w:cs="Times New Roman"/>
          <w:sz w:val="14"/>
          <w:lang w:val="en-US"/>
        </w:rPr>
      </w:pPr>
      <w:r w:rsidRPr="003B2249">
        <w:rPr>
          <w:rFonts w:ascii="Arial" w:eastAsia="Calibri" w:hAnsi="Calibri" w:cs="Times New Roman"/>
          <w:sz w:val="14"/>
          <w:lang w:val="en-US"/>
        </w:rPr>
        <w:t xml:space="preserve">Tofik M. Nagiev. Coherent Synchronized Oxidation reactions by Hydrogen Peroxide.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Elsevier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.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Amsterdam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>. 2007, p.340. Monography</w:t>
      </w:r>
    </w:p>
    <w:p w:rsidR="003B2249" w:rsidRPr="003B2249" w:rsidRDefault="003B2249" w:rsidP="003B2249">
      <w:pPr>
        <w:pStyle w:val="a6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Calibri" w:hAnsi="Calibri" w:cs="Times New Roman"/>
          <w:sz w:val="14"/>
          <w:lang w:val="en-US"/>
        </w:rPr>
      </w:pP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T.M.Nagiev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>.</w:t>
      </w:r>
      <w:r w:rsidRPr="003B2249">
        <w:rPr>
          <w:rFonts w:ascii="Arial" w:eastAsia="Calibri" w:hAnsi="Calibri" w:cs="Times New Roman"/>
          <w:sz w:val="14"/>
          <w:lang w:val="en-US"/>
        </w:rPr>
        <w:t> </w:t>
      </w:r>
      <w:r w:rsidRPr="003B2249">
        <w:rPr>
          <w:rFonts w:ascii="Arial" w:eastAsia="Calibri" w:hAnsi="Calibri" w:cs="Times New Roman"/>
          <w:sz w:val="14"/>
          <w:lang w:val="en-US"/>
        </w:rPr>
        <w:t xml:space="preserve">Chapter. "Physicochemical Peculiarities of Iron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Porphyryn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-Containing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Electrodesign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Catalase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 and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Peroxidase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-Type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Biomimetic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 Sensor "Book" </w:t>
      </w:r>
      <w:proofErr w:type="spellStart"/>
      <w:r w:rsidRPr="003B2249">
        <w:rPr>
          <w:rFonts w:ascii="Arial" w:eastAsia="Calibri" w:hAnsi="Calibri" w:cs="Times New Roman"/>
          <w:sz w:val="14"/>
          <w:lang w:val="en-US"/>
        </w:rPr>
        <w:t>Biomimetic</w:t>
      </w:r>
      <w:proofErr w:type="spellEnd"/>
      <w:r w:rsidRPr="003B2249">
        <w:rPr>
          <w:rFonts w:ascii="Arial" w:eastAsia="Calibri" w:hAnsi="Calibri" w:cs="Times New Roman"/>
          <w:sz w:val="14"/>
          <w:lang w:val="en-US"/>
        </w:rPr>
        <w:t xml:space="preserve"> Based Applications", Preface IX, Chapter4, 2011, p.105-123 under the editorship of Anne George, Croatia.</w:t>
      </w:r>
    </w:p>
    <w:p w:rsidR="004E36A9" w:rsidRPr="003B2249" w:rsidRDefault="004E36A9" w:rsidP="004E36A9">
      <w:pPr>
        <w:spacing w:before="41" w:line="154" w:lineRule="exact"/>
        <w:ind w:left="213" w:right="231"/>
        <w:jc w:val="both"/>
        <w:rPr>
          <w:rFonts w:ascii="Arial" w:eastAsia="Calibri" w:hAnsi="Calibri" w:cs="Times New Roman"/>
          <w:sz w:val="14"/>
          <w:lang w:val="en-US"/>
        </w:rPr>
      </w:pPr>
    </w:p>
    <w:p w:rsidR="004E36A9" w:rsidRPr="004E36A9" w:rsidRDefault="004E36A9" w:rsidP="004E36A9">
      <w:pPr>
        <w:spacing w:before="62"/>
        <w:ind w:left="4217" w:right="4235"/>
        <w:jc w:val="center"/>
        <w:rPr>
          <w:rFonts w:ascii="Arial"/>
          <w:sz w:val="14"/>
          <w:lang w:val="en-US"/>
        </w:rPr>
      </w:pPr>
      <w:r w:rsidRPr="004E36A9">
        <w:rPr>
          <w:rFonts w:ascii="Arial"/>
          <w:sz w:val="14"/>
          <w:lang w:val="en-US"/>
        </w:rPr>
        <w:t xml:space="preserve">Email: </w:t>
      </w:r>
      <w:hyperlink r:id="rId11" w:history="1">
        <w:r w:rsidR="00172E60">
          <w:rPr>
            <w:rStyle w:val="a3"/>
            <w:rFonts w:ascii="Arial"/>
            <w:sz w:val="14"/>
            <w:lang w:val="en-US"/>
          </w:rPr>
          <w:t>tnagiev</w:t>
        </w:r>
        <w:r w:rsidRPr="004E36A9">
          <w:rPr>
            <w:rStyle w:val="a3"/>
            <w:rFonts w:ascii="Arial"/>
            <w:sz w:val="14"/>
            <w:lang w:val="en-US"/>
          </w:rPr>
          <w:t>@</w:t>
        </w:r>
        <w:r w:rsidR="00172E60">
          <w:rPr>
            <w:rStyle w:val="a3"/>
            <w:rFonts w:ascii="Arial"/>
            <w:sz w:val="14"/>
            <w:lang w:val="en-US"/>
          </w:rPr>
          <w:t>azeurotel</w:t>
        </w:r>
        <w:r w:rsidRPr="004E36A9">
          <w:rPr>
            <w:rStyle w:val="a3"/>
            <w:rFonts w:ascii="Arial"/>
            <w:sz w:val="14"/>
            <w:lang w:val="en-US"/>
          </w:rPr>
          <w:t>.com</w:t>
        </w:r>
      </w:hyperlink>
    </w:p>
    <w:p w:rsidR="004E36A9" w:rsidRDefault="004E36A9" w:rsidP="004E36A9">
      <w:pPr>
        <w:pStyle w:val="a4"/>
        <w:spacing w:before="2"/>
        <w:rPr>
          <w:rFonts w:ascii="Arial"/>
          <w:sz w:val="19"/>
        </w:rPr>
      </w:pPr>
      <w:r w:rsidRPr="004576D8">
        <w:rPr>
          <w:noProof/>
          <w:lang w:val="en-IN" w:eastAsia="en-IN"/>
        </w:rPr>
        <w:pict>
          <v:line id="Line 3" o:spid="_x0000_s103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4E36A9" w:rsidRDefault="004E36A9" w:rsidP="004E36A9">
      <w:pPr>
        <w:pStyle w:val="a4"/>
        <w:rPr>
          <w:rFonts w:ascii="Arial"/>
          <w:sz w:val="20"/>
        </w:rPr>
      </w:pPr>
    </w:p>
    <w:p w:rsidR="004E36A9" w:rsidRDefault="004E36A9" w:rsidP="004E36A9">
      <w:pPr>
        <w:pStyle w:val="a4"/>
        <w:rPr>
          <w:rFonts w:ascii="Arial"/>
          <w:sz w:val="20"/>
        </w:rPr>
      </w:pPr>
    </w:p>
    <w:p w:rsidR="004E36A9" w:rsidRDefault="004E36A9" w:rsidP="004E36A9">
      <w:pPr>
        <w:pStyle w:val="a4"/>
        <w:spacing w:before="7"/>
        <w:rPr>
          <w:rFonts w:ascii="Arial"/>
          <w:sz w:val="29"/>
        </w:rPr>
      </w:pPr>
    </w:p>
    <w:p w:rsidR="004E36A9" w:rsidRPr="004E36A9" w:rsidRDefault="004E36A9" w:rsidP="004E36A9">
      <w:pPr>
        <w:spacing w:before="39"/>
        <w:ind w:left="100"/>
        <w:rPr>
          <w:rFonts w:ascii="Minion Pro"/>
          <w:b/>
          <w:sz w:val="20"/>
          <w:lang w:val="en-US"/>
        </w:rPr>
      </w:pPr>
      <w:r w:rsidRPr="004E36A9">
        <w:rPr>
          <w:rFonts w:ascii="Minion Pro"/>
          <w:b/>
          <w:sz w:val="20"/>
          <w:lang w:val="en-US"/>
        </w:rPr>
        <w:t>Notes/Comments:</w:t>
      </w:r>
    </w:p>
    <w:p w:rsidR="00C7003D" w:rsidRDefault="00C7003D" w:rsidP="00C700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F243E" w:themeColor="text2" w:themeShade="80"/>
          <w:sz w:val="18"/>
          <w:szCs w:val="18"/>
          <w:lang w:val="en-US"/>
        </w:rPr>
      </w:pPr>
    </w:p>
    <w:p w:rsidR="00C7003D" w:rsidRDefault="00C7003D" w:rsidP="00C700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F243E" w:themeColor="text2" w:themeShade="80"/>
          <w:sz w:val="18"/>
          <w:szCs w:val="18"/>
          <w:lang w:val="en-US"/>
        </w:rPr>
      </w:pPr>
    </w:p>
    <w:sectPr w:rsidR="00C7003D" w:rsidSect="00172E60">
      <w:type w:val="continuous"/>
      <w:pgSz w:w="11906" w:h="16838"/>
      <w:pgMar w:top="1134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E0CA6"/>
    <w:multiLevelType w:val="hybridMultilevel"/>
    <w:tmpl w:val="D6AADB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characterSpacingControl w:val="doNotCompress"/>
  <w:compat/>
  <w:rsids>
    <w:rsidRoot w:val="00934E2B"/>
    <w:rsid w:val="0003241E"/>
    <w:rsid w:val="000330AC"/>
    <w:rsid w:val="00053F26"/>
    <w:rsid w:val="00172E60"/>
    <w:rsid w:val="00245E37"/>
    <w:rsid w:val="00253458"/>
    <w:rsid w:val="002E1878"/>
    <w:rsid w:val="003268CA"/>
    <w:rsid w:val="003B2249"/>
    <w:rsid w:val="00475F50"/>
    <w:rsid w:val="00484106"/>
    <w:rsid w:val="004C1F8D"/>
    <w:rsid w:val="004E36A9"/>
    <w:rsid w:val="005F496C"/>
    <w:rsid w:val="006744E4"/>
    <w:rsid w:val="006C4818"/>
    <w:rsid w:val="006E3E4B"/>
    <w:rsid w:val="007036F8"/>
    <w:rsid w:val="008075A6"/>
    <w:rsid w:val="00853EE1"/>
    <w:rsid w:val="00922B66"/>
    <w:rsid w:val="00934E2B"/>
    <w:rsid w:val="00A271CD"/>
    <w:rsid w:val="00B10246"/>
    <w:rsid w:val="00BD17A2"/>
    <w:rsid w:val="00C7003D"/>
    <w:rsid w:val="00CC1573"/>
    <w:rsid w:val="00E34FFC"/>
    <w:rsid w:val="00E65411"/>
    <w:rsid w:val="00EB5C34"/>
    <w:rsid w:val="00F414BD"/>
    <w:rsid w:val="00F43F8B"/>
    <w:rsid w:val="00F86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2B66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475F5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475F50"/>
    <w:rPr>
      <w:rFonts w:ascii="Tw Cen MT" w:eastAsia="Tw Cen MT" w:hAnsi="Tw Cen MT" w:cs="Tw Cen MT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0324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1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1573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B224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drXXXXXXX@xxxmai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science.az/en/chemistryproblems/index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D:\science.gov.az_yeni\en\presidium\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Admin</cp:lastModifiedBy>
  <cp:revision>14</cp:revision>
  <cp:lastPrinted>2016-12-27T09:37:00Z</cp:lastPrinted>
  <dcterms:created xsi:type="dcterms:W3CDTF">2016-12-27T07:48:00Z</dcterms:created>
  <dcterms:modified xsi:type="dcterms:W3CDTF">2016-12-27T11:43:00Z</dcterms:modified>
</cp:coreProperties>
</file>