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15CD5" w14:textId="3925E892" w:rsidR="00AE3E37" w:rsidRPr="009D2CD9" w:rsidRDefault="00875577" w:rsidP="005C61C2">
      <w:pPr>
        <w:pStyle w:val="a3"/>
        <w:rPr>
          <w:sz w:val="20"/>
          <w:szCs w:val="20"/>
        </w:rPr>
      </w:pPr>
      <w:r w:rsidRPr="009D2CD9">
        <w:rPr>
          <w:sz w:val="20"/>
          <w:szCs w:val="20"/>
          <w:lang w:val="en-CA"/>
        </w:rPr>
        <w:t>Allylic substitutions of secondary allylic esters: Allylic picolinates with organocopper reagents and allylic phosphates with Ar</w:t>
      </w:r>
      <w:r w:rsidRPr="009D2CD9">
        <w:rPr>
          <w:sz w:val="20"/>
          <w:szCs w:val="20"/>
          <w:vertAlign w:val="subscript"/>
          <w:lang w:val="en-CA"/>
        </w:rPr>
        <w:t>2</w:t>
      </w:r>
      <w:r w:rsidRPr="009D2CD9">
        <w:rPr>
          <w:sz w:val="20"/>
          <w:szCs w:val="20"/>
          <w:lang w:val="en-CA"/>
        </w:rPr>
        <w:t xml:space="preserve">CH anions  </w:t>
      </w:r>
    </w:p>
    <w:p w14:paraId="75FF0E8C" w14:textId="77777777" w:rsidR="00875577" w:rsidRPr="00875577" w:rsidRDefault="00875577" w:rsidP="00875577">
      <w:pPr>
        <w:pStyle w:val="a3"/>
        <w:spacing w:before="73" w:line="198" w:lineRule="exact"/>
        <w:ind w:left="100" w:right="5987"/>
        <w:rPr>
          <w:rFonts w:ascii="Arial" w:hAnsi="Arial" w:cs="Arial"/>
        </w:rPr>
      </w:pPr>
      <w:r w:rsidRPr="00875577">
        <w:rPr>
          <w:rFonts w:ascii="Arial" w:hAnsi="Arial" w:cs="Arial"/>
        </w:rPr>
        <w:t>Yuichi Kobayashi</w:t>
      </w:r>
    </w:p>
    <w:p w14:paraId="284342C1" w14:textId="2E35EF93" w:rsidR="005973B9" w:rsidRPr="00875577" w:rsidRDefault="00875577" w:rsidP="00875577">
      <w:pPr>
        <w:pStyle w:val="a3"/>
        <w:spacing w:before="50" w:line="198" w:lineRule="exact"/>
        <w:ind w:left="102" w:right="5988"/>
        <w:rPr>
          <w:rFonts w:ascii="Arial" w:eastAsiaTheme="minorEastAsia" w:hAnsi="Arial" w:cs="Arial"/>
        </w:rPr>
      </w:pPr>
      <w:r w:rsidRPr="00875577">
        <w:rPr>
          <w:rFonts w:ascii="Arial" w:eastAsiaTheme="minorEastAsia" w:hAnsi="Arial" w:cs="Arial"/>
        </w:rPr>
        <w:t xml:space="preserve">Department of Biotechnology, </w:t>
      </w:r>
      <w:r>
        <w:rPr>
          <w:rFonts w:ascii="Arial" w:hAnsi="Arial" w:cs="Arial"/>
        </w:rPr>
        <w:t xml:space="preserve">Tokyo Institute of </w:t>
      </w:r>
      <w:r w:rsidRPr="00875577">
        <w:rPr>
          <w:rFonts w:ascii="Arial" w:hAnsi="Arial" w:cs="Arial"/>
        </w:rPr>
        <w:t>Technology, Yokohama, Japan</w:t>
      </w:r>
      <w:r w:rsidR="005973B9" w:rsidRPr="00875577">
        <w:rPr>
          <w:rFonts w:ascii="Arial" w:hAnsi="Arial" w:cs="Arial"/>
        </w:rPr>
        <w:t xml:space="preserve"> </w:t>
      </w:r>
    </w:p>
    <w:p w14:paraId="3764A4C1" w14:textId="77777777" w:rsidR="00AE3E37" w:rsidRDefault="00AE3E37">
      <w:pPr>
        <w:pStyle w:val="a3"/>
        <w:rPr>
          <w:rFonts w:ascii="Arial"/>
          <w:sz w:val="20"/>
        </w:rPr>
      </w:pPr>
    </w:p>
    <w:p w14:paraId="2B115442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52DA4124" w14:textId="77777777"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53ECDF4" w14:textId="17EF86C5" w:rsidR="00AE3E37" w:rsidRDefault="00E06485">
      <w:pPr>
        <w:pStyle w:val="a3"/>
        <w:spacing w:before="90" w:line="280" w:lineRule="auto"/>
        <w:ind w:left="100"/>
        <w:jc w:val="both"/>
        <w:rPr>
          <w:lang w:val="en-CA"/>
        </w:rPr>
      </w:pPr>
      <w:r>
        <w:rPr>
          <w:lang w:val="en-CA"/>
        </w:rPr>
        <w:lastRenderedPageBreak/>
        <w:t>We have developed several substitution reactions at a secondary carbon for synthesis of natural products possessing chiral C</w:t>
      </w:r>
      <w:r w:rsidR="0042629E">
        <w:rPr>
          <w:lang w:val="en-CA"/>
        </w:rPr>
        <w:t>–</w:t>
      </w:r>
      <w:r>
        <w:rPr>
          <w:lang w:val="en-CA"/>
        </w:rPr>
        <w:t xml:space="preserve">C bond(s). Among the reactions, we present herein allylic </w:t>
      </w:r>
      <w:r w:rsidR="00850FC1">
        <w:rPr>
          <w:lang w:val="en-CA"/>
        </w:rPr>
        <w:t>substitution</w:t>
      </w:r>
      <w:r>
        <w:rPr>
          <w:lang w:val="en-CA"/>
        </w:rPr>
        <w:t xml:space="preserve"> of the following two types (eqs 1 and 2). The former (eq 1) features the picolinoxy leaving group, which </w:t>
      </w:r>
      <w:r w:rsidR="0044216E">
        <w:rPr>
          <w:lang w:val="en-CA"/>
        </w:rPr>
        <w:t>is activated by chelation to MgBr</w:t>
      </w:r>
      <w:r w:rsidR="0044216E" w:rsidRPr="0044216E">
        <w:rPr>
          <w:vertAlign w:val="subscript"/>
          <w:lang w:val="en-CA"/>
        </w:rPr>
        <w:t>2</w:t>
      </w:r>
      <w:r w:rsidR="0044216E">
        <w:rPr>
          <w:lang w:val="en-CA"/>
        </w:rPr>
        <w:t xml:space="preserve"> generated in situ</w:t>
      </w:r>
      <w:r w:rsidR="008A2537">
        <w:rPr>
          <w:lang w:val="en-CA"/>
        </w:rPr>
        <w:t xml:space="preserve"> [1,2]</w:t>
      </w:r>
      <w:r w:rsidR="0044216E">
        <w:rPr>
          <w:lang w:val="en-CA"/>
        </w:rPr>
        <w:t xml:space="preserve">. This leaving group </w:t>
      </w:r>
      <w:r>
        <w:rPr>
          <w:lang w:val="en-CA"/>
        </w:rPr>
        <w:t xml:space="preserve">allows the use of aryl, hetero-aryl, alkenyl, and alkynyl reagents, which are </w:t>
      </w:r>
      <w:r w:rsidR="00850FC1">
        <w:rPr>
          <w:lang w:val="en-CA"/>
        </w:rPr>
        <w:t>generally</w:t>
      </w:r>
      <w:r>
        <w:rPr>
          <w:lang w:val="en-CA"/>
        </w:rPr>
        <w:t xml:space="preserve"> less reactive than well-studied alkyl species</w:t>
      </w:r>
      <w:r w:rsidR="00750C38">
        <w:rPr>
          <w:lang w:val="en-CA"/>
        </w:rPr>
        <w:t xml:space="preserve"> [</w:t>
      </w:r>
      <w:r w:rsidR="008A2537">
        <w:rPr>
          <w:lang w:val="en-CA"/>
        </w:rPr>
        <w:t>3,</w:t>
      </w:r>
      <w:r w:rsidR="00AA691B">
        <w:rPr>
          <w:lang w:val="en-CA"/>
        </w:rPr>
        <w:t>4</w:t>
      </w:r>
      <w:r w:rsidR="00750C38">
        <w:rPr>
          <w:lang w:val="en-CA"/>
        </w:rPr>
        <w:t>]</w:t>
      </w:r>
      <w:r>
        <w:rPr>
          <w:lang w:val="en-CA"/>
        </w:rPr>
        <w:t>. The substitution with these reagents proceeds with high anti S</w:t>
      </w:r>
      <w:r w:rsidRPr="00D91AEA">
        <w:rPr>
          <w:vertAlign w:val="subscript"/>
          <w:lang w:val="en-CA"/>
        </w:rPr>
        <w:t>N</w:t>
      </w:r>
      <w:r>
        <w:rPr>
          <w:lang w:val="en-CA"/>
        </w:rPr>
        <w:t xml:space="preserve">2' selectivity. Furthermore, this substitution works well on </w:t>
      </w:r>
      <w:r w:rsidR="006A6F63">
        <w:rPr>
          <w:lang w:val="en-CA"/>
        </w:rPr>
        <w:t>ß</w:t>
      </w:r>
      <w:r>
        <w:rPr>
          <w:lang w:val="en-CA"/>
        </w:rPr>
        <w:t>,</w:t>
      </w:r>
      <w:r w:rsidR="006A6F63">
        <w:rPr>
          <w:lang w:val="en-CA"/>
        </w:rPr>
        <w:t>ß</w:t>
      </w:r>
      <w:r>
        <w:rPr>
          <w:lang w:val="en-CA"/>
        </w:rPr>
        <w:t>-substituted allylic picolinates, furnishing quaternary carbons</w:t>
      </w:r>
      <w:r w:rsidR="00750C38">
        <w:rPr>
          <w:lang w:val="en-CA"/>
        </w:rPr>
        <w:t xml:space="preserve"> [</w:t>
      </w:r>
      <w:r w:rsidR="00AA691B">
        <w:rPr>
          <w:lang w:val="en-CA"/>
        </w:rPr>
        <w:t>5,6</w:t>
      </w:r>
      <w:r w:rsidR="00750C38">
        <w:rPr>
          <w:lang w:val="en-CA"/>
        </w:rPr>
        <w:t>]</w:t>
      </w:r>
      <w:r>
        <w:rPr>
          <w:lang w:val="en-CA"/>
        </w:rPr>
        <w:t>. This reaction has been utilized as a key step for synthesis of several biologically active compounds such as the active form of loxopr</w:t>
      </w:r>
      <w:r w:rsidRPr="00632696">
        <w:rPr>
          <w:color w:val="000000" w:themeColor="text1"/>
          <w:lang w:val="en-CA"/>
        </w:rPr>
        <w:t xml:space="preserve">ofen, cyclobakuchiol A, </w:t>
      </w:r>
      <w:r>
        <w:rPr>
          <w:lang w:val="en-CA"/>
        </w:rPr>
        <w:t xml:space="preserve">mesembrine, anastrephin, </w:t>
      </w:r>
      <w:r w:rsidR="00750C38">
        <w:rPr>
          <w:lang w:val="en-CA"/>
        </w:rPr>
        <w:t xml:space="preserve">axenol, </w:t>
      </w:r>
      <w:r>
        <w:rPr>
          <w:lang w:val="en-CA"/>
        </w:rPr>
        <w:t>etc</w:t>
      </w:r>
      <w:r w:rsidR="00737E9B">
        <w:rPr>
          <w:lang w:eastAsia="ja-JP"/>
        </w:rPr>
        <w:t>. (Figure 1)</w:t>
      </w:r>
      <w:r>
        <w:rPr>
          <w:lang w:val="en-CA"/>
        </w:rPr>
        <w:t>. The second substitution to be presented herein is the allylic substitution of secondary allylic phosphates with Ar</w:t>
      </w:r>
      <w:r w:rsidRPr="00716A26">
        <w:rPr>
          <w:vertAlign w:val="subscript"/>
          <w:lang w:val="en-CA"/>
        </w:rPr>
        <w:t>2</w:t>
      </w:r>
      <w:r>
        <w:rPr>
          <w:lang w:val="en-CA"/>
        </w:rPr>
        <w:t>CH anions</w:t>
      </w:r>
      <w:r w:rsidR="00B5250B">
        <w:rPr>
          <w:lang w:val="en-CA"/>
        </w:rPr>
        <w:t xml:space="preserve"> (eq 2)</w:t>
      </w:r>
      <w:bookmarkStart w:id="0" w:name="_GoBack"/>
      <w:bookmarkEnd w:id="0"/>
      <w:r>
        <w:rPr>
          <w:lang w:val="en-CA"/>
        </w:rPr>
        <w:t>, which proceeds with high efficiency to afford S</w:t>
      </w:r>
      <w:r w:rsidRPr="00716A26">
        <w:rPr>
          <w:vertAlign w:val="subscript"/>
          <w:lang w:val="en-CA"/>
        </w:rPr>
        <w:t>N</w:t>
      </w:r>
      <w:r>
        <w:rPr>
          <w:lang w:val="en-CA"/>
        </w:rPr>
        <w:t>2 products regio- and stereoselectively</w:t>
      </w:r>
      <w:r w:rsidR="00750C38">
        <w:rPr>
          <w:lang w:val="en-CA"/>
        </w:rPr>
        <w:t xml:space="preserve"> [</w:t>
      </w:r>
      <w:r w:rsidR="00AA691B">
        <w:rPr>
          <w:lang w:val="en-CA"/>
        </w:rPr>
        <w:t>7</w:t>
      </w:r>
      <w:r w:rsidR="00750C38">
        <w:rPr>
          <w:lang w:val="en-CA"/>
        </w:rPr>
        <w:t>]</w:t>
      </w:r>
      <w:r>
        <w:rPr>
          <w:lang w:val="en-CA"/>
        </w:rPr>
        <w:t xml:space="preserve">.  </w:t>
      </w:r>
    </w:p>
    <w:p w14:paraId="656FFADB" w14:textId="77777777" w:rsidR="00E06485" w:rsidRDefault="00F14900">
      <w:pPr>
        <w:pStyle w:val="a3"/>
        <w:spacing w:before="90" w:line="280" w:lineRule="auto"/>
        <w:ind w:left="100"/>
        <w:jc w:val="both"/>
        <w:rPr>
          <w:lang w:val="en-CA"/>
        </w:rPr>
      </w:pPr>
      <w:r w:rsidRPr="00F14900">
        <w:rPr>
          <w:noProof/>
          <w:lang w:eastAsia="ja-JP"/>
        </w:rPr>
        <w:drawing>
          <wp:inline distT="0" distB="0" distL="0" distR="0" wp14:anchorId="652AA5C9" wp14:editId="3026FA7E">
            <wp:extent cx="3165480" cy="1274400"/>
            <wp:effectExtent l="0" t="0" r="952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5480" cy="12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78F02" w14:textId="77777777" w:rsidR="00E06485" w:rsidRDefault="00E06485">
      <w:pPr>
        <w:pStyle w:val="a3"/>
        <w:spacing w:before="90" w:line="280" w:lineRule="auto"/>
        <w:ind w:left="100"/>
        <w:jc w:val="both"/>
      </w:pPr>
    </w:p>
    <w:p w14:paraId="02778445" w14:textId="7461A42C" w:rsidR="00AE3E37" w:rsidRPr="00457AF7" w:rsidRDefault="00A9710C" w:rsidP="00457AF7">
      <w:pPr>
        <w:pStyle w:val="3"/>
        <w:spacing w:before="74"/>
      </w:pPr>
      <w:r>
        <w:rPr>
          <w:b w:val="0"/>
        </w:rPr>
        <w:br w:type="column"/>
      </w:r>
      <w:r w:rsidR="00F14900" w:rsidRPr="00F14900">
        <w:rPr>
          <w:noProof/>
          <w:sz w:val="16"/>
          <w:lang w:eastAsia="ja-JP"/>
        </w:rPr>
        <w:lastRenderedPageBreak/>
        <w:drawing>
          <wp:inline distT="0" distB="0" distL="0" distR="0" wp14:anchorId="626491E2" wp14:editId="473D6A56">
            <wp:extent cx="3165475" cy="956945"/>
            <wp:effectExtent l="0" t="0" r="9525" b="825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9FE3E" w14:textId="0EB73F5D" w:rsidR="005973B9" w:rsidRPr="00B60999" w:rsidRDefault="005973B9" w:rsidP="005973B9">
      <w:pPr>
        <w:spacing w:line="204" w:lineRule="exact"/>
        <w:rPr>
          <w:rFonts w:ascii="Arial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457AF7" w:rsidRPr="00B60999">
        <w:rPr>
          <w:rFonts w:ascii="Arial"/>
          <w:color w:val="000000" w:themeColor="text1"/>
          <w:sz w:val="20"/>
        </w:rPr>
        <w:t>P</w:t>
      </w:r>
      <w:r w:rsidRPr="00B60999">
        <w:rPr>
          <w:rFonts w:ascii="Arial"/>
          <w:color w:val="000000" w:themeColor="text1"/>
          <w:sz w:val="20"/>
        </w:rPr>
        <w:t xml:space="preserve">ublications </w:t>
      </w:r>
    </w:p>
    <w:p w14:paraId="063B6CB1" w14:textId="0DD734B3" w:rsidR="005973B9" w:rsidRPr="00981B1E" w:rsidRDefault="00514355" w:rsidP="0051435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left="386" w:right="136"/>
        <w:rPr>
          <w:sz w:val="18"/>
          <w:szCs w:val="18"/>
        </w:rPr>
      </w:pPr>
      <w:r w:rsidRPr="00514355">
        <w:rPr>
          <w:rFonts w:eastAsia="ヒラギノ明朝 Pro W3"/>
          <w:sz w:val="18"/>
          <w:szCs w:val="18"/>
        </w:rPr>
        <w:t xml:space="preserve">Y. Kiyotsuka, H. P. Acharya, Y. Katayama, T. Hyodo, Y. Kobayashi, </w:t>
      </w:r>
      <w:r w:rsidRPr="00514355">
        <w:rPr>
          <w:rFonts w:eastAsia="ヒラギノ明朝 Pro W3"/>
          <w:i/>
          <w:sz w:val="18"/>
          <w:szCs w:val="18"/>
        </w:rPr>
        <w:t>Org. Lett</w:t>
      </w:r>
      <w:r w:rsidRPr="00514355">
        <w:rPr>
          <w:rFonts w:eastAsia="ヒラギノ明朝 Pro W3"/>
          <w:sz w:val="18"/>
          <w:szCs w:val="18"/>
        </w:rPr>
        <w:t xml:space="preserve">., </w:t>
      </w:r>
      <w:r w:rsidRPr="00514355">
        <w:rPr>
          <w:rFonts w:eastAsia="ヒラギノ明朝 Pro W3"/>
          <w:b/>
          <w:sz w:val="18"/>
          <w:szCs w:val="18"/>
        </w:rPr>
        <w:t>2008</w:t>
      </w:r>
      <w:r w:rsidRPr="00514355">
        <w:rPr>
          <w:rFonts w:eastAsia="ヒラギノ明朝 Pro W3"/>
          <w:sz w:val="18"/>
          <w:szCs w:val="18"/>
        </w:rPr>
        <w:t xml:space="preserve">, </w:t>
      </w:r>
      <w:r w:rsidRPr="00514355">
        <w:rPr>
          <w:rFonts w:eastAsia="ヒラギノ明朝 Pro W3"/>
          <w:i/>
          <w:sz w:val="18"/>
          <w:szCs w:val="18"/>
        </w:rPr>
        <w:t>10</w:t>
      </w:r>
      <w:r w:rsidRPr="00514355">
        <w:rPr>
          <w:rFonts w:eastAsia="ヒラギノ明朝 Pro W3"/>
          <w:sz w:val="18"/>
          <w:szCs w:val="18"/>
        </w:rPr>
        <w:t xml:space="preserve">, 1719–1722. </w:t>
      </w:r>
    </w:p>
    <w:p w14:paraId="0CE2F47E" w14:textId="79CA353D" w:rsidR="00981B1E" w:rsidRPr="00981B1E" w:rsidRDefault="00981B1E" w:rsidP="0051435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left="386" w:right="136"/>
        <w:rPr>
          <w:sz w:val="18"/>
          <w:szCs w:val="18"/>
        </w:rPr>
      </w:pPr>
      <w:r w:rsidRPr="00981B1E">
        <w:rPr>
          <w:rFonts w:eastAsia="ヒラギノ明朝 Pro W3"/>
          <w:sz w:val="18"/>
          <w:szCs w:val="18"/>
        </w:rPr>
        <w:t xml:space="preserve">Y. Kiyotsuka, Y. Katayama, H. P. Acharya, T. Hyodo, </w:t>
      </w:r>
      <w:r w:rsidRPr="00981B1E">
        <w:rPr>
          <w:sz w:val="18"/>
          <w:szCs w:val="18"/>
        </w:rPr>
        <w:t>Y. Kobayashi</w:t>
      </w:r>
      <w:r w:rsidRPr="00981B1E">
        <w:rPr>
          <w:rFonts w:eastAsia="ヒラギノ明朝 Pro W3"/>
          <w:sz w:val="18"/>
          <w:szCs w:val="18"/>
        </w:rPr>
        <w:t xml:space="preserve">, </w:t>
      </w:r>
      <w:r w:rsidRPr="00981B1E">
        <w:rPr>
          <w:rFonts w:eastAsia="ヒラギノ明朝 Pro W3"/>
          <w:i/>
          <w:sz w:val="18"/>
          <w:szCs w:val="18"/>
        </w:rPr>
        <w:t>J. Org. Chem</w:t>
      </w:r>
      <w:r w:rsidRPr="00981B1E">
        <w:rPr>
          <w:rFonts w:eastAsia="ヒラギノ明朝 Pro W3"/>
          <w:sz w:val="18"/>
          <w:szCs w:val="18"/>
        </w:rPr>
        <w:t xml:space="preserve">., </w:t>
      </w:r>
      <w:r w:rsidRPr="00981B1E">
        <w:rPr>
          <w:rFonts w:eastAsia="ヒラギノ明朝 Pro W3"/>
          <w:b/>
          <w:bCs/>
          <w:sz w:val="18"/>
          <w:szCs w:val="18"/>
          <w:lang w:bidi="en-US"/>
        </w:rPr>
        <w:t>2009</w:t>
      </w:r>
      <w:r w:rsidRPr="00981B1E">
        <w:rPr>
          <w:rFonts w:eastAsia="ヒラギノ明朝 Pro W3"/>
          <w:sz w:val="18"/>
          <w:szCs w:val="18"/>
          <w:lang w:bidi="en-US"/>
        </w:rPr>
        <w:t xml:space="preserve">, </w:t>
      </w:r>
      <w:r w:rsidRPr="00981B1E">
        <w:rPr>
          <w:rFonts w:eastAsia="ヒラギノ明朝 Pro W3"/>
          <w:i/>
          <w:iCs/>
          <w:sz w:val="18"/>
          <w:szCs w:val="18"/>
          <w:lang w:bidi="en-US"/>
        </w:rPr>
        <w:t>74</w:t>
      </w:r>
      <w:r w:rsidRPr="00981B1E">
        <w:rPr>
          <w:rFonts w:eastAsia="ヒラギノ明朝 Pro W3"/>
          <w:sz w:val="18"/>
          <w:szCs w:val="18"/>
          <w:lang w:bidi="en-US"/>
        </w:rPr>
        <w:t>, 1939–1951</w:t>
      </w:r>
      <w:r w:rsidRPr="00981B1E">
        <w:rPr>
          <w:rFonts w:eastAsia="ヒラギノ明朝 Pro W3"/>
          <w:sz w:val="18"/>
          <w:szCs w:val="18"/>
        </w:rPr>
        <w:t>.</w:t>
      </w:r>
      <w:r w:rsidRPr="00981B1E">
        <w:rPr>
          <w:sz w:val="18"/>
          <w:szCs w:val="18"/>
        </w:rPr>
        <w:t xml:space="preserve"> </w:t>
      </w:r>
    </w:p>
    <w:p w14:paraId="30C57674" w14:textId="28E759C3" w:rsidR="005973B9" w:rsidRPr="00514355" w:rsidRDefault="00514355" w:rsidP="0051435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left="386" w:right="136"/>
        <w:rPr>
          <w:sz w:val="18"/>
          <w:szCs w:val="18"/>
        </w:rPr>
      </w:pPr>
      <w:r w:rsidRPr="00981B1E">
        <w:rPr>
          <w:rFonts w:eastAsia="ヒラギノ明朝 Pro W3"/>
          <w:sz w:val="18"/>
          <w:szCs w:val="18"/>
        </w:rPr>
        <w:t xml:space="preserve">T. Hyodo, Y. Kiyotsuka, </w:t>
      </w:r>
      <w:r w:rsidRPr="00981B1E">
        <w:rPr>
          <w:sz w:val="18"/>
          <w:szCs w:val="18"/>
        </w:rPr>
        <w:t>Y. Kobayashi,</w:t>
      </w:r>
      <w:r w:rsidRPr="00981B1E">
        <w:rPr>
          <w:rFonts w:eastAsia="ヒラギノ明朝 Pro W3"/>
          <w:sz w:val="18"/>
          <w:szCs w:val="18"/>
        </w:rPr>
        <w:t xml:space="preserve"> </w:t>
      </w:r>
      <w:r w:rsidRPr="00981B1E">
        <w:rPr>
          <w:rFonts w:eastAsia="ヒラギノ明朝 Pro W3"/>
          <w:i/>
          <w:sz w:val="18"/>
          <w:szCs w:val="18"/>
        </w:rPr>
        <w:t>Org. Lett</w:t>
      </w:r>
      <w:r w:rsidRPr="00981B1E">
        <w:rPr>
          <w:rFonts w:eastAsia="ヒラギノ明朝 Pro W3"/>
          <w:sz w:val="18"/>
          <w:szCs w:val="18"/>
        </w:rPr>
        <w:t xml:space="preserve">., </w:t>
      </w:r>
      <w:r w:rsidRPr="00981B1E">
        <w:rPr>
          <w:rFonts w:eastAsia="ヒラギノ明朝 Pro W3"/>
          <w:b/>
          <w:sz w:val="18"/>
          <w:szCs w:val="18"/>
        </w:rPr>
        <w:t>2009</w:t>
      </w:r>
      <w:r w:rsidRPr="00981B1E">
        <w:rPr>
          <w:rFonts w:eastAsia="ヒラギノ明朝 Pro W3"/>
          <w:sz w:val="18"/>
          <w:szCs w:val="18"/>
        </w:rPr>
        <w:t xml:space="preserve">, </w:t>
      </w:r>
      <w:r w:rsidRPr="00981B1E">
        <w:rPr>
          <w:rFonts w:eastAsia="ヒラギノ明朝 Pro W3"/>
          <w:i/>
          <w:sz w:val="18"/>
          <w:szCs w:val="18"/>
        </w:rPr>
        <w:t>11</w:t>
      </w:r>
      <w:r w:rsidRPr="00981B1E">
        <w:rPr>
          <w:rFonts w:eastAsia="ヒラギノ明朝 Pro W3"/>
          <w:sz w:val="18"/>
          <w:szCs w:val="18"/>
        </w:rPr>
        <w:t>, 1103–</w:t>
      </w:r>
      <w:r w:rsidRPr="00514355">
        <w:rPr>
          <w:rFonts w:eastAsia="ヒラギノ明朝 Pro W3"/>
          <w:sz w:val="18"/>
          <w:szCs w:val="18"/>
        </w:rPr>
        <w:t xml:space="preserve">1106. </w:t>
      </w:r>
    </w:p>
    <w:p w14:paraId="5D6954D7" w14:textId="5E5E43FC" w:rsidR="00981B1E" w:rsidRPr="00981B1E" w:rsidRDefault="00514355" w:rsidP="00981B1E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514355">
        <w:rPr>
          <w:rFonts w:eastAsia="ヒラギノ明朝 Pro W3"/>
          <w:kern w:val="24"/>
          <w:sz w:val="18"/>
          <w:szCs w:val="18"/>
        </w:rPr>
        <w:t>Q</w:t>
      </w:r>
      <w:r w:rsidRPr="00514355">
        <w:rPr>
          <w:kern w:val="24"/>
          <w:sz w:val="18"/>
          <w:szCs w:val="18"/>
        </w:rPr>
        <w:t>.</w:t>
      </w:r>
      <w:r w:rsidRPr="00514355">
        <w:rPr>
          <w:rFonts w:eastAsia="ヒラギノ明朝 Pro W3"/>
          <w:kern w:val="24"/>
          <w:sz w:val="18"/>
          <w:szCs w:val="18"/>
        </w:rPr>
        <w:t xml:space="preserve"> Wang</w:t>
      </w:r>
      <w:r w:rsidRPr="00514355">
        <w:rPr>
          <w:kern w:val="24"/>
          <w:sz w:val="18"/>
          <w:szCs w:val="18"/>
        </w:rPr>
        <w:t xml:space="preserve">, </w:t>
      </w:r>
      <w:r w:rsidRPr="00514355">
        <w:rPr>
          <w:rFonts w:eastAsia="ヒラギノ明朝 Pro W3"/>
          <w:kern w:val="24"/>
          <w:sz w:val="18"/>
          <w:szCs w:val="18"/>
        </w:rPr>
        <w:t>Y</w:t>
      </w:r>
      <w:r w:rsidRPr="00514355">
        <w:rPr>
          <w:kern w:val="24"/>
          <w:sz w:val="18"/>
          <w:szCs w:val="18"/>
        </w:rPr>
        <w:t>.</w:t>
      </w:r>
      <w:r w:rsidRPr="00514355">
        <w:rPr>
          <w:rFonts w:eastAsia="ヒラギノ明朝 Pro W3"/>
          <w:kern w:val="24"/>
          <w:sz w:val="18"/>
          <w:szCs w:val="18"/>
        </w:rPr>
        <w:t xml:space="preserve"> Kobayashi, </w:t>
      </w:r>
      <w:r w:rsidRPr="00514355">
        <w:rPr>
          <w:rFonts w:eastAsia="ヒラギノ明朝 Pro W3"/>
          <w:i/>
          <w:kern w:val="24"/>
          <w:sz w:val="18"/>
          <w:szCs w:val="18"/>
        </w:rPr>
        <w:t>Org. Lett</w:t>
      </w:r>
      <w:r w:rsidRPr="00514355">
        <w:rPr>
          <w:rFonts w:eastAsia="ヒラギノ明朝 Pro W3"/>
          <w:kern w:val="24"/>
          <w:sz w:val="18"/>
          <w:szCs w:val="18"/>
        </w:rPr>
        <w:t xml:space="preserve">., </w:t>
      </w:r>
      <w:r w:rsidRPr="00514355">
        <w:rPr>
          <w:rFonts w:eastAsia="ヒラギノ明朝 Pro W3"/>
          <w:b/>
          <w:kern w:val="24"/>
          <w:sz w:val="18"/>
          <w:szCs w:val="18"/>
        </w:rPr>
        <w:t>2011</w:t>
      </w:r>
      <w:r w:rsidRPr="00514355">
        <w:rPr>
          <w:rFonts w:eastAsia="ヒラギノ明朝 Pro W3"/>
          <w:kern w:val="24"/>
          <w:sz w:val="18"/>
          <w:szCs w:val="18"/>
        </w:rPr>
        <w:t xml:space="preserve">, </w:t>
      </w:r>
      <w:r w:rsidR="00981B1E">
        <w:rPr>
          <w:rFonts w:eastAsia="ヒラギノ明朝 Pro W3"/>
          <w:i/>
          <w:kern w:val="24"/>
          <w:sz w:val="18"/>
          <w:szCs w:val="18"/>
        </w:rPr>
        <w:t>13</w:t>
      </w:r>
      <w:r w:rsidRPr="00514355">
        <w:rPr>
          <w:rFonts w:eastAsia="ヒラギノ明朝 Pro W3"/>
          <w:kern w:val="24"/>
          <w:sz w:val="18"/>
          <w:szCs w:val="18"/>
        </w:rPr>
        <w:t xml:space="preserve">, 6252–6255. </w:t>
      </w:r>
    </w:p>
    <w:p w14:paraId="63F4197B" w14:textId="6AD1561D" w:rsidR="005973B9" w:rsidRDefault="005973B9" w:rsidP="00514355">
      <w:pPr>
        <w:pStyle w:val="a3"/>
        <w:tabs>
          <w:tab w:val="left" w:pos="426"/>
        </w:tabs>
        <w:spacing w:before="85" w:line="216" w:lineRule="exact"/>
        <w:ind w:left="383" w:right="138" w:hanging="284"/>
        <w:jc w:val="both"/>
        <w:rPr>
          <w:rFonts w:ascii="Calibri" w:hAnsi="Calibri"/>
          <w:bCs/>
          <w:lang w:bidi="en-US"/>
        </w:rPr>
      </w:pPr>
      <w:r w:rsidRPr="00514355">
        <w:rPr>
          <w:rFonts w:ascii="Calibri" w:hAnsi="Calibri"/>
        </w:rPr>
        <w:t>5.</w:t>
      </w:r>
      <w:r w:rsidR="00514355" w:rsidRPr="00514355">
        <w:rPr>
          <w:rFonts w:ascii="Calibri" w:hAnsi="Calibri"/>
        </w:rPr>
        <w:tab/>
      </w:r>
      <w:r w:rsidR="00957987" w:rsidRPr="00514355">
        <w:rPr>
          <w:rFonts w:ascii="Calibri" w:hAnsi="Calibri"/>
          <w:bCs/>
          <w:lang w:bidi="en-US"/>
        </w:rPr>
        <w:t xml:space="preserve">Y. Kaneko, Y. Kiyotsuka, H. P. Acharya, </w:t>
      </w:r>
      <w:r w:rsidR="00957987" w:rsidRPr="00514355">
        <w:rPr>
          <w:rFonts w:ascii="Calibri" w:hAnsi="Calibri"/>
        </w:rPr>
        <w:t>Y. Kobayashi</w:t>
      </w:r>
      <w:r w:rsidR="00957987" w:rsidRPr="00514355">
        <w:rPr>
          <w:rFonts w:ascii="Calibri" w:hAnsi="Calibri"/>
          <w:bCs/>
          <w:lang w:bidi="en-US"/>
        </w:rPr>
        <w:t xml:space="preserve">, </w:t>
      </w:r>
      <w:r w:rsidR="00957987" w:rsidRPr="00514355">
        <w:rPr>
          <w:rFonts w:ascii="Calibri" w:hAnsi="Calibri"/>
          <w:bCs/>
          <w:i/>
          <w:lang w:bidi="en-US"/>
        </w:rPr>
        <w:t>Chem. Commun</w:t>
      </w:r>
      <w:r w:rsidR="00957987" w:rsidRPr="00514355">
        <w:rPr>
          <w:rFonts w:ascii="Calibri" w:hAnsi="Calibri"/>
          <w:bCs/>
          <w:lang w:bidi="en-US"/>
        </w:rPr>
        <w:t xml:space="preserve">., </w:t>
      </w:r>
      <w:r w:rsidR="00957987" w:rsidRPr="00514355">
        <w:rPr>
          <w:rFonts w:ascii="Calibri" w:hAnsi="Calibri"/>
          <w:b/>
          <w:bCs/>
          <w:lang w:bidi="en-US"/>
        </w:rPr>
        <w:t>2010</w:t>
      </w:r>
      <w:r w:rsidR="00957987" w:rsidRPr="00514355">
        <w:rPr>
          <w:rFonts w:ascii="Calibri" w:hAnsi="Calibri"/>
          <w:bCs/>
          <w:lang w:bidi="en-US"/>
        </w:rPr>
        <w:t xml:space="preserve">, </w:t>
      </w:r>
      <w:r w:rsidR="00957987" w:rsidRPr="00514355">
        <w:rPr>
          <w:rFonts w:ascii="Calibri" w:hAnsi="Calibri"/>
          <w:bCs/>
          <w:i/>
          <w:lang w:bidi="en-US"/>
        </w:rPr>
        <w:t>46</w:t>
      </w:r>
      <w:r w:rsidR="00957987" w:rsidRPr="00514355">
        <w:rPr>
          <w:rFonts w:ascii="Calibri" w:hAnsi="Calibri"/>
          <w:bCs/>
          <w:lang w:bidi="en-US"/>
        </w:rPr>
        <w:t xml:space="preserve">, 5482–5484. </w:t>
      </w:r>
      <w:r w:rsidR="00981B1E">
        <w:rPr>
          <w:rFonts w:ascii="Calibri" w:eastAsia="平成明朝" w:hAnsi="Calibri"/>
        </w:rPr>
        <w:t xml:space="preserve">  </w:t>
      </w:r>
    </w:p>
    <w:p w14:paraId="6CB17223" w14:textId="14671031" w:rsidR="00981B1E" w:rsidRPr="00514355" w:rsidRDefault="00981B1E" w:rsidP="00514355">
      <w:pPr>
        <w:pStyle w:val="a3"/>
        <w:tabs>
          <w:tab w:val="left" w:pos="426"/>
        </w:tabs>
        <w:spacing w:before="85" w:line="216" w:lineRule="exact"/>
        <w:ind w:left="383" w:right="138" w:hanging="284"/>
        <w:jc w:val="both"/>
        <w:rPr>
          <w:rFonts w:ascii="Calibri" w:hAnsi="Calibri"/>
          <w:bCs/>
          <w:lang w:bidi="en-US"/>
        </w:rPr>
      </w:pPr>
      <w:r>
        <w:rPr>
          <w:rFonts w:ascii="Calibri" w:hAnsi="Calibri"/>
        </w:rPr>
        <w:t>6</w:t>
      </w:r>
      <w:r w:rsidRPr="00514355">
        <w:rPr>
          <w:rFonts w:ascii="Calibri" w:hAnsi="Calibri"/>
        </w:rPr>
        <w:t>.</w:t>
      </w:r>
      <w:r w:rsidRPr="00514355">
        <w:rPr>
          <w:rFonts w:ascii="Calibri" w:hAnsi="Calibri"/>
        </w:rPr>
        <w:tab/>
      </w:r>
      <w:r w:rsidR="00957987" w:rsidRPr="00514355">
        <w:rPr>
          <w:rFonts w:ascii="Calibri" w:eastAsia="平成明朝" w:hAnsi="Calibri"/>
        </w:rPr>
        <w:t xml:space="preserve">C. Feng, Y. Kobayashi, </w:t>
      </w:r>
      <w:r w:rsidR="00957987" w:rsidRPr="00514355">
        <w:rPr>
          <w:rFonts w:ascii="Calibri" w:eastAsia="平成明朝" w:hAnsi="Calibri"/>
          <w:i/>
        </w:rPr>
        <w:t>J. Org. Chem</w:t>
      </w:r>
      <w:r w:rsidR="00957987" w:rsidRPr="00514355">
        <w:rPr>
          <w:rFonts w:ascii="Calibri" w:eastAsia="平成明朝" w:hAnsi="Calibri"/>
        </w:rPr>
        <w:t xml:space="preserve">., </w:t>
      </w:r>
      <w:r w:rsidR="00957987" w:rsidRPr="00514355">
        <w:rPr>
          <w:rFonts w:ascii="Calibri" w:eastAsia="平成明朝" w:hAnsi="Calibri"/>
          <w:b/>
        </w:rPr>
        <w:t>2013</w:t>
      </w:r>
      <w:r w:rsidR="00957987" w:rsidRPr="00514355">
        <w:rPr>
          <w:rFonts w:ascii="Calibri" w:eastAsia="平成明朝" w:hAnsi="Calibri"/>
        </w:rPr>
        <w:t xml:space="preserve">, </w:t>
      </w:r>
      <w:r w:rsidR="00957987" w:rsidRPr="00514355">
        <w:rPr>
          <w:rFonts w:ascii="Calibri" w:eastAsia="平成明朝" w:hAnsi="Calibri"/>
          <w:i/>
        </w:rPr>
        <w:t>78</w:t>
      </w:r>
      <w:r w:rsidR="00957987" w:rsidRPr="00514355">
        <w:rPr>
          <w:rFonts w:ascii="Calibri" w:eastAsia="平成明朝" w:hAnsi="Calibri"/>
        </w:rPr>
        <w:t>, 3755</w:t>
      </w:r>
      <w:r w:rsidR="00957987" w:rsidRPr="00514355">
        <w:rPr>
          <w:rFonts w:ascii="Calibri" w:hAnsi="Calibri"/>
        </w:rPr>
        <w:t>–</w:t>
      </w:r>
      <w:r w:rsidR="00957987" w:rsidRPr="00514355">
        <w:rPr>
          <w:rFonts w:ascii="Calibri" w:eastAsia="平成明朝" w:hAnsi="Calibri"/>
        </w:rPr>
        <w:t>3766.</w:t>
      </w:r>
      <w:r w:rsidR="00957987">
        <w:rPr>
          <w:rFonts w:ascii="Calibri" w:eastAsia="平成明朝" w:hAnsi="Calibri"/>
        </w:rPr>
        <w:t xml:space="preserve">    </w:t>
      </w:r>
    </w:p>
    <w:p w14:paraId="21B82491" w14:textId="17A9F10A" w:rsidR="00514355" w:rsidRPr="00514355" w:rsidRDefault="00981B1E" w:rsidP="00514355">
      <w:pPr>
        <w:pStyle w:val="a3"/>
        <w:tabs>
          <w:tab w:val="left" w:pos="426"/>
        </w:tabs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  <w:bCs/>
          <w:lang w:bidi="en-US"/>
        </w:rPr>
        <w:t>7</w:t>
      </w:r>
      <w:r w:rsidR="00514355" w:rsidRPr="00514355">
        <w:rPr>
          <w:rFonts w:ascii="Calibri" w:hAnsi="Calibri"/>
          <w:bCs/>
          <w:lang w:bidi="en-US"/>
        </w:rPr>
        <w:t>.</w:t>
      </w:r>
      <w:r w:rsidR="00514355" w:rsidRPr="00514355">
        <w:rPr>
          <w:rFonts w:ascii="Calibri" w:hAnsi="Calibri"/>
          <w:bCs/>
          <w:lang w:bidi="en-US"/>
        </w:rPr>
        <w:tab/>
      </w:r>
      <w:r w:rsidR="00514355" w:rsidRPr="00514355">
        <w:rPr>
          <w:rFonts w:ascii="Calibri" w:eastAsiaTheme="minorEastAsia" w:hAnsi="Calibri"/>
        </w:rPr>
        <w:t xml:space="preserve">H. Kawashima, N. Ogawa, R. Saeki, Y. Kobayashi, </w:t>
      </w:r>
      <w:r w:rsidR="00514355" w:rsidRPr="00514355">
        <w:rPr>
          <w:rFonts w:ascii="Calibri" w:eastAsiaTheme="minorEastAsia" w:hAnsi="Calibri"/>
          <w:i/>
        </w:rPr>
        <w:t>Chem. Commun</w:t>
      </w:r>
      <w:r w:rsidR="00514355" w:rsidRPr="00514355">
        <w:rPr>
          <w:rFonts w:ascii="Calibri" w:eastAsiaTheme="minorEastAsia" w:hAnsi="Calibri"/>
        </w:rPr>
        <w:t>.,</w:t>
      </w:r>
      <w:r w:rsidR="00514355" w:rsidRPr="00514355">
        <w:rPr>
          <w:rFonts w:ascii="Calibri" w:eastAsiaTheme="minorEastAsia" w:hAnsi="Calibri"/>
          <w:b/>
        </w:rPr>
        <w:t xml:space="preserve"> 2016</w:t>
      </w:r>
      <w:r w:rsidR="00514355" w:rsidRPr="00514355">
        <w:rPr>
          <w:rFonts w:ascii="Calibri" w:eastAsiaTheme="minorEastAsia" w:hAnsi="Calibri"/>
        </w:rPr>
        <w:t xml:space="preserve">, </w:t>
      </w:r>
      <w:r w:rsidR="00514355" w:rsidRPr="00514355">
        <w:rPr>
          <w:rFonts w:ascii="Calibri" w:eastAsiaTheme="minorEastAsia" w:hAnsi="Calibri"/>
          <w:i/>
        </w:rPr>
        <w:t>52</w:t>
      </w:r>
      <w:r w:rsidR="00514355" w:rsidRPr="00514355">
        <w:rPr>
          <w:rFonts w:ascii="Calibri" w:eastAsiaTheme="minorEastAsia" w:hAnsi="Calibri"/>
        </w:rPr>
        <w:t>,</w:t>
      </w:r>
      <w:r w:rsidR="00514355" w:rsidRPr="00514355">
        <w:rPr>
          <w:rFonts w:ascii="Calibri" w:eastAsiaTheme="minorEastAsia" w:hAnsi="Calibri"/>
          <w:lang w:val="en-CA"/>
        </w:rPr>
        <w:t xml:space="preserve"> 4918–4921</w:t>
      </w:r>
      <w:r w:rsidR="00514355" w:rsidRPr="00514355">
        <w:rPr>
          <w:rFonts w:ascii="Calibri" w:eastAsiaTheme="minorEastAsia" w:hAnsi="Calibri"/>
        </w:rPr>
        <w:t xml:space="preserve">. </w:t>
      </w:r>
    </w:p>
    <w:p w14:paraId="26827C6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6EAFA1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F88540A" w14:textId="77777777" w:rsidR="00AE3E37" w:rsidRDefault="00AE3E37">
      <w:pPr>
        <w:pStyle w:val="a3"/>
        <w:rPr>
          <w:rFonts w:ascii="Calibri"/>
          <w:sz w:val="20"/>
        </w:rPr>
      </w:pPr>
    </w:p>
    <w:p w14:paraId="1C0CD2D6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1A2539EA" wp14:editId="212B833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07E81B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3010EFF" w14:textId="642830A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F6A32" w:rsidRPr="00BF6A32">
        <w:rPr>
          <w:noProof/>
          <w:lang w:eastAsia="ja-JP"/>
        </w:rPr>
        <w:drawing>
          <wp:inline distT="0" distB="0" distL="0" distR="0" wp14:anchorId="16C4FE1E" wp14:editId="526EBBE9">
            <wp:extent cx="589885" cy="646997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7972" cy="66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6224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AA90967" w14:textId="1780836F" w:rsidR="00AE3E37" w:rsidRPr="00F448A8" w:rsidRDefault="00F448A8">
      <w:pPr>
        <w:spacing w:before="41" w:line="154" w:lineRule="exact"/>
        <w:ind w:left="213" w:right="231"/>
        <w:jc w:val="both"/>
        <w:rPr>
          <w:rFonts w:ascii="Arial" w:hAnsi="Arial" w:cs="Arial"/>
          <w:sz w:val="16"/>
          <w:szCs w:val="16"/>
        </w:rPr>
      </w:pPr>
      <w:r w:rsidRPr="00F448A8">
        <w:rPr>
          <w:rFonts w:ascii="Arial" w:hAnsi="Arial" w:cs="Arial"/>
          <w:sz w:val="16"/>
          <w:szCs w:val="16"/>
        </w:rPr>
        <w:t xml:space="preserve">Yuichi KOBAYASHI: obtained PhD at Tokyo Institute of Technology in 1981 under the supervision by Prof. J. Tsuji; a post doctor of Prof. G. Stork at Columbia University, New York (1981-1982); an assistant Prof. </w:t>
      </w:r>
      <w:r w:rsidR="00850FC1">
        <w:rPr>
          <w:rFonts w:ascii="Arial" w:hAnsi="Arial" w:cs="Arial"/>
          <w:sz w:val="16"/>
          <w:szCs w:val="16"/>
        </w:rPr>
        <w:t>of t</w:t>
      </w:r>
      <w:r w:rsidRPr="00F448A8">
        <w:rPr>
          <w:rFonts w:ascii="Arial" w:hAnsi="Arial" w:cs="Arial"/>
          <w:sz w:val="16"/>
          <w:szCs w:val="16"/>
        </w:rPr>
        <w:t xml:space="preserve">he Fumie Sato Lab. at Tokyo Institute of Technology (1982-1988). Presently, a full Prof. at Tokyo Institute of Technology. </w:t>
      </w:r>
    </w:p>
    <w:p w14:paraId="7B72E1C1" w14:textId="13F59EF0" w:rsidR="00F448A8" w:rsidRDefault="00F448A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448A8">
        <w:rPr>
          <w:rFonts w:ascii="Arial" w:hAnsi="Arial" w:cs="Arial"/>
          <w:sz w:val="16"/>
          <w:szCs w:val="16"/>
        </w:rPr>
        <w:t xml:space="preserve">Research fields are organic synthesis, synthetic methodology using transition metal catalysts, synthesis of natural products, which </w:t>
      </w:r>
      <w:r w:rsidR="009976A9">
        <w:rPr>
          <w:rFonts w:ascii="Arial" w:hAnsi="Arial" w:cs="Arial"/>
          <w:sz w:val="16"/>
          <w:szCs w:val="16"/>
        </w:rPr>
        <w:t>include</w:t>
      </w:r>
      <w:r w:rsidRPr="00F448A8">
        <w:rPr>
          <w:rFonts w:ascii="Arial" w:hAnsi="Arial" w:cs="Arial"/>
          <w:sz w:val="16"/>
          <w:szCs w:val="16"/>
        </w:rPr>
        <w:t xml:space="preserve"> fatty acid </w:t>
      </w:r>
      <w:r w:rsidR="00457AF7" w:rsidRPr="00F448A8">
        <w:rPr>
          <w:rFonts w:ascii="Arial" w:hAnsi="Arial" w:cs="Arial"/>
          <w:sz w:val="16"/>
          <w:szCs w:val="16"/>
        </w:rPr>
        <w:t>metabolites</w:t>
      </w:r>
      <w:r w:rsidRPr="00F448A8">
        <w:rPr>
          <w:rFonts w:ascii="Arial" w:hAnsi="Arial" w:cs="Arial"/>
          <w:sz w:val="16"/>
          <w:szCs w:val="16"/>
        </w:rPr>
        <w:t xml:space="preserve"> such as resolvins, cinchona alkaloids, isoprostane (a new type of cyclopentanoids), phoslactomycins, etc. </w:t>
      </w:r>
    </w:p>
    <w:p w14:paraId="51DA9A2B" w14:textId="0F2D9E8D" w:rsidR="00AE3E37" w:rsidRPr="00296224" w:rsidRDefault="00A9710C" w:rsidP="00296224">
      <w:pPr>
        <w:pStyle w:val="p1"/>
        <w:jc w:val="center"/>
        <w:rPr>
          <w:rFonts w:ascii="Arial" w:hAnsi="Arial" w:cs="Arial"/>
          <w:sz w:val="16"/>
          <w:szCs w:val="16"/>
        </w:rPr>
      </w:pPr>
      <w:r w:rsidRPr="00296224">
        <w:rPr>
          <w:rFonts w:ascii="Arial" w:hAnsi="Arial" w:cs="Arial"/>
          <w:sz w:val="16"/>
          <w:szCs w:val="16"/>
        </w:rPr>
        <w:t xml:space="preserve">Email: </w:t>
      </w:r>
      <w:r w:rsidR="00296224" w:rsidRPr="00296224">
        <w:rPr>
          <w:rFonts w:ascii="Arial" w:hAnsi="Arial" w:cs="Arial"/>
          <w:sz w:val="16"/>
          <w:szCs w:val="16"/>
        </w:rPr>
        <w:t>ykobayas@bio.titech.ac.jp</w:t>
      </w:r>
    </w:p>
    <w:p w14:paraId="4A595716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0E43563" wp14:editId="1DE0BEE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5458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606EBD4F" w14:textId="77777777" w:rsidR="00AE3E37" w:rsidRDefault="00AE3E37">
      <w:pPr>
        <w:pStyle w:val="a3"/>
        <w:rPr>
          <w:rFonts w:ascii="Arial"/>
          <w:sz w:val="20"/>
        </w:rPr>
      </w:pPr>
    </w:p>
    <w:p w14:paraId="13616322" w14:textId="77777777" w:rsidR="00AE3E37" w:rsidRDefault="00AE3E37">
      <w:pPr>
        <w:pStyle w:val="a3"/>
        <w:rPr>
          <w:rFonts w:ascii="Arial"/>
          <w:sz w:val="20"/>
        </w:rPr>
      </w:pPr>
    </w:p>
    <w:p w14:paraId="1A24C441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0F89AE3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FEDE54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4809D98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p w14:paraId="62F515A5" w14:textId="5720D884" w:rsidR="00BF6A32" w:rsidRDefault="00BF6A32">
      <w:pPr>
        <w:pStyle w:val="a3"/>
        <w:spacing w:before="3"/>
        <w:rPr>
          <w:rFonts w:ascii="Calibri" w:hAnsi="Calibri"/>
          <w:lang w:val="en-CA"/>
        </w:rPr>
      </w:pPr>
      <w:r>
        <w:rPr>
          <w:rFonts w:ascii="Calibri" w:hAnsi="Calibri"/>
        </w:rPr>
        <w:t xml:space="preserve">(1) </w:t>
      </w:r>
      <w:r w:rsidRPr="00BF6A32">
        <w:rPr>
          <w:rFonts w:ascii="Calibri" w:hAnsi="Calibri"/>
        </w:rPr>
        <w:t xml:space="preserve">We use </w:t>
      </w:r>
      <w:r w:rsidR="00E33FB8">
        <w:rPr>
          <w:rFonts w:ascii="Calibri" w:hAnsi="Calibri"/>
        </w:rPr>
        <w:t>"</w:t>
      </w:r>
      <w:r w:rsidRPr="00BF6A32">
        <w:rPr>
          <w:rFonts w:ascii="Calibri" w:hAnsi="Calibri"/>
        </w:rPr>
        <w:t>symbol</w:t>
      </w:r>
      <w:r w:rsidR="00E33FB8">
        <w:rPr>
          <w:rFonts w:ascii="Calibri" w:hAnsi="Calibri"/>
        </w:rPr>
        <w:t>"</w:t>
      </w:r>
      <w:r w:rsidRPr="00BF6A32">
        <w:rPr>
          <w:rFonts w:ascii="Calibri" w:hAnsi="Calibri"/>
        </w:rPr>
        <w:t xml:space="preserve"> beta twice on line 9:   </w:t>
      </w:r>
      <w:r w:rsidRPr="00BF6A32">
        <w:rPr>
          <w:rFonts w:ascii="Calibri" w:hAnsi="Calibri"/>
          <w:lang w:val="en-CA"/>
        </w:rPr>
        <w:t xml:space="preserve">works well on </w:t>
      </w:r>
      <w:r w:rsidRPr="00BF6A32">
        <w:rPr>
          <w:rFonts w:ascii="Calibri" w:hAnsi="Calibri"/>
          <w:highlight w:val="yellow"/>
          <w:lang w:val="en-CA"/>
        </w:rPr>
        <w:t>ß</w:t>
      </w:r>
      <w:r w:rsidRPr="00BF6A32">
        <w:rPr>
          <w:rFonts w:ascii="Calibri" w:hAnsi="Calibri"/>
          <w:lang w:val="en-CA"/>
        </w:rPr>
        <w:t>,</w:t>
      </w:r>
      <w:r w:rsidRPr="00BF6A32">
        <w:rPr>
          <w:rFonts w:ascii="Calibri" w:hAnsi="Calibri"/>
          <w:highlight w:val="yellow"/>
          <w:lang w:val="en-CA"/>
        </w:rPr>
        <w:t>ß</w:t>
      </w:r>
      <w:r w:rsidRPr="00BF6A32">
        <w:rPr>
          <w:rFonts w:ascii="Calibri" w:hAnsi="Calibri"/>
          <w:lang w:val="en-CA"/>
        </w:rPr>
        <w:t>-substituted</w:t>
      </w:r>
      <w:r>
        <w:rPr>
          <w:rFonts w:ascii="Calibri" w:hAnsi="Calibri"/>
          <w:lang w:val="en-CA"/>
        </w:rPr>
        <w:t>.</w:t>
      </w:r>
    </w:p>
    <w:p w14:paraId="7D2BCE3B" w14:textId="0385FB77" w:rsidR="00BF6A32" w:rsidRDefault="00BF6A32">
      <w:pPr>
        <w:pStyle w:val="a3"/>
        <w:spacing w:before="3"/>
        <w:rPr>
          <w:rFonts w:ascii="Calibri" w:hAnsi="Calibri"/>
          <w:lang w:val="en-CA"/>
        </w:rPr>
      </w:pPr>
      <w:r>
        <w:rPr>
          <w:rFonts w:ascii="Calibri" w:hAnsi="Calibri"/>
          <w:lang w:val="en-CA"/>
        </w:rPr>
        <w:t xml:space="preserve">(2) Although an example of </w:t>
      </w:r>
      <w:r w:rsidR="00E33FB8">
        <w:rPr>
          <w:rFonts w:ascii="Calibri" w:hAnsi="Calibri"/>
          <w:lang w:val="en-CA"/>
        </w:rPr>
        <w:t>"</w:t>
      </w:r>
      <w:r>
        <w:rPr>
          <w:rFonts w:ascii="Calibri" w:hAnsi="Calibri"/>
          <w:lang w:val="en-CA"/>
        </w:rPr>
        <w:t>Recent Publications</w:t>
      </w:r>
      <w:r w:rsidR="00E33FB8">
        <w:rPr>
          <w:rFonts w:ascii="Calibri" w:hAnsi="Calibri"/>
          <w:lang w:val="en-CA"/>
        </w:rPr>
        <w:t>"</w:t>
      </w:r>
      <w:r>
        <w:rPr>
          <w:rFonts w:ascii="Calibri" w:hAnsi="Calibri"/>
          <w:lang w:val="en-CA"/>
        </w:rPr>
        <w:t xml:space="preserve"> include</w:t>
      </w:r>
      <w:r w:rsidR="00E33FB8">
        <w:rPr>
          <w:rFonts w:ascii="Calibri" w:hAnsi="Calibri"/>
          <w:lang w:val="en-CA"/>
        </w:rPr>
        <w:t xml:space="preserve"> the title for each publication</w:t>
      </w:r>
      <w:r>
        <w:rPr>
          <w:rFonts w:ascii="Calibri" w:hAnsi="Calibri"/>
          <w:lang w:val="en-CA"/>
        </w:rPr>
        <w:t xml:space="preserve">. we did not add the titles to save </w:t>
      </w:r>
      <w:r w:rsidR="00E33FB8">
        <w:rPr>
          <w:rFonts w:ascii="Calibri" w:hAnsi="Calibri"/>
          <w:lang w:val="en-CA"/>
        </w:rPr>
        <w:t xml:space="preserve">a </w:t>
      </w:r>
      <w:r>
        <w:rPr>
          <w:rFonts w:ascii="Calibri" w:hAnsi="Calibri"/>
          <w:lang w:val="en-CA"/>
        </w:rPr>
        <w:t xml:space="preserve">space. </w:t>
      </w:r>
      <w:r w:rsidR="00E33FB8">
        <w:rPr>
          <w:rFonts w:ascii="Calibri" w:hAnsi="Calibri"/>
          <w:lang w:val="en-CA"/>
        </w:rPr>
        <w:t>I</w:t>
      </w:r>
      <w:r>
        <w:rPr>
          <w:rFonts w:ascii="Calibri" w:hAnsi="Calibri"/>
          <w:lang w:val="en-CA"/>
        </w:rPr>
        <w:t xml:space="preserve">f you ask me to add the titles, I will </w:t>
      </w:r>
      <w:r w:rsidR="00E33FB8">
        <w:rPr>
          <w:rFonts w:ascii="Calibri" w:hAnsi="Calibri"/>
          <w:lang w:val="en-CA"/>
        </w:rPr>
        <w:t>follow</w:t>
      </w:r>
      <w:r>
        <w:rPr>
          <w:rFonts w:ascii="Calibri" w:hAnsi="Calibri"/>
          <w:lang w:val="en-CA"/>
        </w:rPr>
        <w:t xml:space="preserve">.  </w:t>
      </w:r>
    </w:p>
    <w:p w14:paraId="0A63610F" w14:textId="322453AE" w:rsidR="00BF6A32" w:rsidRPr="00BF6A32" w:rsidRDefault="00DA5211">
      <w:pPr>
        <w:pStyle w:val="a3"/>
        <w:spacing w:before="3"/>
        <w:rPr>
          <w:rFonts w:ascii="Calibri" w:hAnsi="Calibri"/>
        </w:rPr>
      </w:pPr>
      <w:r>
        <w:rPr>
          <w:rFonts w:ascii="Calibri" w:hAnsi="Calibri"/>
        </w:rPr>
        <w:t>(3) Mac</w:t>
      </w:r>
      <w:r w:rsidR="009D2CD9">
        <w:rPr>
          <w:rFonts w:ascii="Calibri" w:hAnsi="Calibri"/>
        </w:rPr>
        <w:t xml:space="preserve">intosh </w:t>
      </w:r>
      <w:r w:rsidR="00AD687E">
        <w:rPr>
          <w:rFonts w:ascii="Calibri" w:hAnsi="Calibri"/>
        </w:rPr>
        <w:t xml:space="preserve">(OS10.11.6) and MSWord </w:t>
      </w:r>
      <w:r w:rsidR="00AD17B4">
        <w:rPr>
          <w:rFonts w:ascii="Calibri" w:hAnsi="Calibri"/>
        </w:rPr>
        <w:t xml:space="preserve">(v 15.28) were used for this abstract.   </w:t>
      </w:r>
    </w:p>
    <w:p w14:paraId="44E35548" w14:textId="77777777" w:rsidR="00BF6A32" w:rsidRDefault="00BF6A32">
      <w:pPr>
        <w:pStyle w:val="a3"/>
        <w:spacing w:before="3"/>
        <w:rPr>
          <w:rFonts w:ascii="Minion Pro"/>
          <w:sz w:val="26"/>
        </w:rPr>
      </w:pPr>
    </w:p>
    <w:sectPr w:rsidR="00BF6A3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FFBD6" w14:textId="77777777" w:rsidR="00726025" w:rsidRDefault="00726025">
      <w:r>
        <w:separator/>
      </w:r>
    </w:p>
  </w:endnote>
  <w:endnote w:type="continuationSeparator" w:id="0">
    <w:p w14:paraId="54A7C7B1" w14:textId="77777777" w:rsidR="00726025" w:rsidRDefault="0072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iragino Mincho Pro">
    <w:altName w:val="Hiragino Mincho Pro W3"/>
    <w:charset w:val="80"/>
    <w:family w:val="auto"/>
    <w:pitch w:val="variable"/>
    <w:sig w:usb0="E00002FF" w:usb1="7AC7FFFF" w:usb2="00000012" w:usb3="00000000" w:csb0="0002000D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平成明朝">
    <w:altName w:val="ＭＳ 明朝"/>
    <w:charset w:val="80"/>
    <w:family w:val="auto"/>
    <w:pitch w:val="variable"/>
    <w:sig w:usb0="00000000" w:usb1="00000708" w:usb2="10000000" w:usb3="00000000" w:csb0="0002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BB9CE" w14:textId="77777777" w:rsidR="00FA5C5F" w:rsidRDefault="00FA5C5F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EC133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292D902" wp14:editId="369C04B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108D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8CC01E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2D902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5fAha4CAACp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" filled="f" stroked="f">
              <v:textbox inset="0,0,0,0">
                <w:txbxContent>
                  <w:p w14:paraId="4D5108D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8CC01E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</w:t>
                    </w:r>
                    <w:bookmarkStart w:id="1" w:name="_GoBack"/>
                    <w:bookmarkEnd w:id="1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A6D6B93" wp14:editId="72C4956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D53C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B342E2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6D6B93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66D53C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B342E2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A3A62B" wp14:editId="732AAA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3FDB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F5991A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A3A62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D7sbKd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34F3FDB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F5991A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2BF19" w14:textId="77777777" w:rsidR="00FA5C5F" w:rsidRDefault="00FA5C5F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4EDDA" w14:textId="77777777" w:rsidR="00726025" w:rsidRDefault="00726025">
      <w:r>
        <w:separator/>
      </w:r>
    </w:p>
  </w:footnote>
  <w:footnote w:type="continuationSeparator" w:id="0">
    <w:p w14:paraId="173F7B38" w14:textId="77777777" w:rsidR="00726025" w:rsidRDefault="007260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749BC" w14:textId="77777777" w:rsidR="00FA5C5F" w:rsidRDefault="00FA5C5F">
    <w:pPr>
      <w:pStyle w:val="a6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FEF2" w14:textId="0F935537" w:rsidR="00AE3E37" w:rsidRDefault="00AE3E37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988C6" w14:textId="77777777" w:rsidR="00FA5C5F" w:rsidRDefault="00FA5C5F">
    <w:pPr>
      <w:pStyle w:val="a6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0F0A"/>
    <w:rsid w:val="000971A3"/>
    <w:rsid w:val="000E2911"/>
    <w:rsid w:val="001263DF"/>
    <w:rsid w:val="002577ED"/>
    <w:rsid w:val="00292ED9"/>
    <w:rsid w:val="00296224"/>
    <w:rsid w:val="00302157"/>
    <w:rsid w:val="00404E5B"/>
    <w:rsid w:val="00414F7B"/>
    <w:rsid w:val="0042629E"/>
    <w:rsid w:val="004355DC"/>
    <w:rsid w:val="0044216E"/>
    <w:rsid w:val="00457AF7"/>
    <w:rsid w:val="004749B4"/>
    <w:rsid w:val="00494130"/>
    <w:rsid w:val="004F3523"/>
    <w:rsid w:val="00514355"/>
    <w:rsid w:val="005973B9"/>
    <w:rsid w:val="005B3A56"/>
    <w:rsid w:val="005C61C2"/>
    <w:rsid w:val="006060CE"/>
    <w:rsid w:val="0063497F"/>
    <w:rsid w:val="00645640"/>
    <w:rsid w:val="006A6F63"/>
    <w:rsid w:val="00726025"/>
    <w:rsid w:val="00737E9B"/>
    <w:rsid w:val="00750C38"/>
    <w:rsid w:val="00850FC1"/>
    <w:rsid w:val="00873DF0"/>
    <w:rsid w:val="00875577"/>
    <w:rsid w:val="008756E6"/>
    <w:rsid w:val="008A2537"/>
    <w:rsid w:val="00957987"/>
    <w:rsid w:val="00981B1E"/>
    <w:rsid w:val="009976A9"/>
    <w:rsid w:val="009B2D44"/>
    <w:rsid w:val="009D2CD9"/>
    <w:rsid w:val="00A07E82"/>
    <w:rsid w:val="00A9710C"/>
    <w:rsid w:val="00AA691B"/>
    <w:rsid w:val="00AD17B4"/>
    <w:rsid w:val="00AD687E"/>
    <w:rsid w:val="00AE3E37"/>
    <w:rsid w:val="00B21A57"/>
    <w:rsid w:val="00B5250B"/>
    <w:rsid w:val="00B60999"/>
    <w:rsid w:val="00BF6A32"/>
    <w:rsid w:val="00C33602"/>
    <w:rsid w:val="00CD6F55"/>
    <w:rsid w:val="00D871CB"/>
    <w:rsid w:val="00DA5211"/>
    <w:rsid w:val="00DE3104"/>
    <w:rsid w:val="00E06485"/>
    <w:rsid w:val="00E14CA5"/>
    <w:rsid w:val="00E33FB8"/>
    <w:rsid w:val="00F14900"/>
    <w:rsid w:val="00F448A8"/>
    <w:rsid w:val="00F72EEA"/>
    <w:rsid w:val="00F84CAE"/>
    <w:rsid w:val="00FA5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C092A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1">
    <w:name w:val="p1"/>
    <w:basedOn w:val="a"/>
    <w:rsid w:val="00296224"/>
    <w:pPr>
      <w:widowControl/>
      <w:jc w:val="both"/>
    </w:pPr>
    <w:rPr>
      <w:rFonts w:ascii="Hiragino Mincho Pro" w:eastAsia="Hiragino Mincho Pro" w:hAnsi="Hiragino Mincho Pro" w:cs="Times New Roman"/>
      <w:sz w:val="15"/>
      <w:szCs w:val="1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1.emf"/><Relationship Id="rId14" Type="http://schemas.openxmlformats.org/officeDocument/2006/relationships/image" Target="media/image2.emf"/><Relationship Id="rId15" Type="http://schemas.openxmlformats.org/officeDocument/2006/relationships/image" Target="media/image3.tiff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455</Words>
  <Characters>2596</Characters>
  <Application>Microsoft Macintosh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ユーザー</cp:lastModifiedBy>
  <cp:revision>16</cp:revision>
  <cp:lastPrinted>2016-12-12T07:22:00Z</cp:lastPrinted>
  <dcterms:created xsi:type="dcterms:W3CDTF">2016-09-02T14:18:00Z</dcterms:created>
  <dcterms:modified xsi:type="dcterms:W3CDTF">2016-12-12T07:58:00Z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