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4DA" w:rsidRDefault="00D244DA" w:rsidP="005C61C2">
      <w:pPr>
        <w:pStyle w:val="BodyText"/>
      </w:pPr>
      <w:r>
        <w:t xml:space="preserve">1000 wastefree solid-state syntheses from 2 mmol to industrial scale and processes with 100% yield in 26 reaction types  </w:t>
      </w:r>
    </w:p>
    <w:p w:rsidR="00D244DA" w:rsidRDefault="00D244DA" w:rsidP="005973B9">
      <w:pPr>
        <w:pStyle w:val="BodyText"/>
        <w:spacing w:before="73" w:line="198" w:lineRule="exact"/>
        <w:ind w:left="100" w:right="5987"/>
        <w:rPr>
          <w:rFonts w:ascii="Arial"/>
        </w:rPr>
      </w:pPr>
      <w:r>
        <w:rPr>
          <w:rFonts w:ascii="Arial" w:eastAsia="Times New Roman" w:cs="Arial"/>
        </w:rPr>
        <w:t xml:space="preserve">Gerd Kaupp, Prof. Dr, University of Oldenburg, Germany </w:t>
      </w:r>
    </w:p>
    <w:p w:rsidR="00D244DA" w:rsidRDefault="00D244DA">
      <w:pPr>
        <w:pStyle w:val="BodyText"/>
        <w:rPr>
          <w:rFonts w:ascii="Arial"/>
          <w:sz w:val="20"/>
          <w:szCs w:val="20"/>
        </w:rPr>
      </w:pPr>
    </w:p>
    <w:p w:rsidR="00D244DA" w:rsidRDefault="00D244DA">
      <w:pPr>
        <w:pStyle w:val="BodyText"/>
        <w:spacing w:before="3"/>
        <w:rPr>
          <w:rFonts w:ascii="Arial"/>
          <w:sz w:val="21"/>
          <w:szCs w:val="21"/>
        </w:rPr>
      </w:pPr>
    </w:p>
    <w:p w:rsidR="00D244DA" w:rsidRDefault="00D244DA">
      <w:pPr>
        <w:rPr>
          <w:rFonts w:ascii="Arial"/>
          <w:sz w:val="21"/>
          <w:szCs w:val="21"/>
        </w:rPr>
        <w:sectPr w:rsidR="00D244DA">
          <w:headerReference w:type="default" r:id="rId7"/>
          <w:footerReference w:type="default" r:id="rId8"/>
          <w:type w:val="continuous"/>
          <w:pgSz w:w="11910" w:h="16840"/>
          <w:pgMar w:top="1740" w:right="600" w:bottom="840" w:left="620" w:header="541" w:footer="642" w:gutter="0"/>
          <w:cols w:space="720"/>
        </w:sectPr>
      </w:pPr>
    </w:p>
    <w:p w:rsidR="00D244DA" w:rsidRPr="00122E7A" w:rsidRDefault="00D244DA" w:rsidP="00F11FA0">
      <w:pPr>
        <w:jc w:val="both"/>
        <w:rPr>
          <w:sz w:val="18"/>
          <w:szCs w:val="18"/>
        </w:rPr>
      </w:pPr>
      <w:r w:rsidRPr="00122E7A">
        <w:rPr>
          <w:sz w:val="18"/>
          <w:szCs w:val="18"/>
        </w:rPr>
        <w:t xml:space="preserve">Preparative molecular and ionic solid-state reactions (gas-solid and solid-solid) have been shown to proceed rapidly, with definite completion, at decreased activation energy, and with 100% yield, wasteless and mostly specific. It has been shown at the molecular level that local melting is not required and that anisotropic far-reaching molecular migrations occur within the crystals along crystallographic channels, cleavage planes, and to voids (including amorphous solids) upon chemical reaction (pressure release). Such mechanistic knowledge is at variance with Schmidt's topochemistry hypothesis and despite hundredfold proof also with more than 1000 wasteless 100% yield reactions (directly pure solid product, without solvent requiring workup) all across chemistry in 26 reaction types. </w:t>
      </w:r>
      <w:r>
        <w:rPr>
          <w:sz w:val="18"/>
          <w:szCs w:val="18"/>
        </w:rPr>
        <w:t>Nevertheless</w:t>
      </w:r>
      <w:r w:rsidRPr="00122E7A">
        <w:rPr>
          <w:sz w:val="18"/>
          <w:szCs w:val="18"/>
        </w:rPr>
        <w:t>, "topochemists" still long for (local) liquids in molecular solid-state reactions and suggest heating above eutectic temperatures, or also retrogressively</w:t>
      </w:r>
      <w:r>
        <w:rPr>
          <w:sz w:val="18"/>
          <w:szCs w:val="18"/>
        </w:rPr>
        <w:t xml:space="preserve"> they</w:t>
      </w:r>
      <w:r w:rsidRPr="00122E7A">
        <w:rPr>
          <w:sz w:val="18"/>
          <w:szCs w:val="18"/>
        </w:rPr>
        <w:t xml:space="preserve"> "invent" LAG (liquid assisted grinding) in order to stay with their long disproved hypothesis: they obtain poor yield, incomplete reaction, require catalysts and chromatographic workup, by denying and losing the profits from the solid-state. Unfortunately they often avoid citing the optimal performance of solids' gasification or stoichiometric co-milling of crystals strictly below the lowest eutectic temperature (including deep cooling) without local melting.  </w:t>
      </w:r>
    </w:p>
    <w:p w:rsidR="00D244DA" w:rsidRPr="00122E7A" w:rsidRDefault="00D244DA" w:rsidP="00F11FA0">
      <w:pPr>
        <w:jc w:val="both"/>
        <w:rPr>
          <w:sz w:val="18"/>
          <w:szCs w:val="18"/>
        </w:rPr>
      </w:pPr>
      <w:r w:rsidRPr="00122E7A">
        <w:rPr>
          <w:sz w:val="18"/>
          <w:szCs w:val="18"/>
        </w:rPr>
        <w:t>The most stunning examples out of the 26 reaction types for wasteless synthesis are  otherwise not available new products under temperature control. These will be stressed, and relations to packing diagrams will be discussed. Previous syntheses are improved (100%, no catalysts, no moisture, high selectivity or mostly specificity, better use of reagents (NaHCO</w:t>
      </w:r>
      <w:r w:rsidRPr="00122E7A">
        <w:rPr>
          <w:sz w:val="18"/>
          <w:szCs w:val="18"/>
          <w:vertAlign w:val="subscript"/>
        </w:rPr>
        <w:t>3</w:t>
      </w:r>
      <w:r w:rsidRPr="00122E7A">
        <w:rPr>
          <w:sz w:val="18"/>
          <w:szCs w:val="18"/>
        </w:rPr>
        <w:t xml:space="preserve"> instead of NaOH, all 4 B-H bonds of NaBH</w:t>
      </w:r>
      <w:r w:rsidRPr="00122E7A">
        <w:rPr>
          <w:sz w:val="18"/>
          <w:szCs w:val="18"/>
          <w:vertAlign w:val="subscript"/>
        </w:rPr>
        <w:t>4</w:t>
      </w:r>
      <w:r w:rsidRPr="00122E7A">
        <w:rPr>
          <w:sz w:val="18"/>
          <w:szCs w:val="18"/>
        </w:rPr>
        <w:t xml:space="preserve"> instead of only one, etc.). The wasteless scaling of solid-state reactions in columns and up to 20 and 100 L ball-mills, and the possibility of continuous industrial production will be presented with actual examples, the equipment discussed. This is environmentally benign, saves the environment, cost, and labor. </w:t>
      </w:r>
    </w:p>
    <w:p w:rsidR="00D244DA" w:rsidRDefault="00D244DA">
      <w:pPr>
        <w:pStyle w:val="BodyText"/>
        <w:spacing w:before="90" w:line="280" w:lineRule="auto"/>
        <w:ind w:left="100"/>
        <w:jc w:val="both"/>
      </w:pPr>
    </w:p>
    <w:p w:rsidR="00D244DA" w:rsidRPr="00ED44CF" w:rsidRDefault="00D244DA" w:rsidP="00ED44CF">
      <w:pPr>
        <w:pStyle w:val="Heading3"/>
        <w:spacing w:before="74"/>
      </w:pPr>
      <w:r>
        <w:br w:type="column"/>
        <w:t xml:space="preserve">  </w:t>
      </w:r>
      <w:r w:rsidRPr="00ED44C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8.25pt;height:159.75pt">
            <v:imagedata r:id="rId9" o:title=""/>
          </v:shape>
        </w:pict>
      </w:r>
    </w:p>
    <w:p w:rsidR="00D244DA" w:rsidRDefault="00D244DA" w:rsidP="005973B9">
      <w:pPr>
        <w:spacing w:line="204" w:lineRule="exact"/>
        <w:rPr>
          <w:rFonts w:ascii="Arial"/>
          <w:b/>
          <w:bCs/>
          <w:sz w:val="20"/>
          <w:szCs w:val="20"/>
        </w:rPr>
      </w:pPr>
      <w:r>
        <w:rPr>
          <w:rFonts w:ascii="Arial"/>
          <w:b/>
          <w:bCs/>
          <w:color w:val="BF5A14"/>
          <w:sz w:val="20"/>
          <w:szCs w:val="20"/>
        </w:rPr>
        <w:br/>
      </w:r>
    </w:p>
    <w:p w:rsidR="00D244DA" w:rsidRDefault="00D244DA" w:rsidP="00252241">
      <w:pPr>
        <w:pStyle w:val="ListParagraph"/>
        <w:numPr>
          <w:ilvl w:val="0"/>
          <w:numId w:val="3"/>
        </w:numPr>
        <w:tabs>
          <w:tab w:val="left" w:pos="384"/>
        </w:tabs>
        <w:spacing w:before="103" w:line="216" w:lineRule="exact"/>
        <w:ind w:right="138" w:hanging="283"/>
        <w:rPr>
          <w:sz w:val="18"/>
          <w:szCs w:val="18"/>
        </w:rPr>
      </w:pPr>
      <w:r>
        <w:rPr>
          <w:sz w:val="18"/>
          <w:szCs w:val="18"/>
        </w:rPr>
        <w:t xml:space="preserve">Kaupp G (2006) </w:t>
      </w:r>
      <w:r w:rsidRPr="001145D4">
        <w:rPr>
          <w:sz w:val="18"/>
          <w:szCs w:val="18"/>
        </w:rPr>
        <w:t>Waste-free large-scale syntheses without auxiliaries for sustainable production omitting purifying workup</w:t>
      </w:r>
      <w:r>
        <w:t xml:space="preserve">. </w:t>
      </w:r>
      <w:r>
        <w:rPr>
          <w:sz w:val="18"/>
          <w:szCs w:val="18"/>
        </w:rPr>
        <w:t>CrystEngComm 8:798-804.</w:t>
      </w:r>
    </w:p>
    <w:p w:rsidR="00D244DA" w:rsidRDefault="00D244DA" w:rsidP="00252241">
      <w:pPr>
        <w:pStyle w:val="ListParagraph"/>
        <w:numPr>
          <w:ilvl w:val="0"/>
          <w:numId w:val="3"/>
        </w:numPr>
        <w:tabs>
          <w:tab w:val="left" w:pos="384"/>
        </w:tabs>
        <w:spacing w:line="216" w:lineRule="exact"/>
        <w:ind w:right="137" w:hanging="283"/>
        <w:rPr>
          <w:sz w:val="18"/>
          <w:szCs w:val="18"/>
        </w:rPr>
      </w:pPr>
      <w:r>
        <w:rPr>
          <w:sz w:val="18"/>
          <w:szCs w:val="18"/>
        </w:rPr>
        <w:t>Kaupp G (2005) Organic solid-state reactions with 100% yield. Top. Curr. Chem. 254:95-183.</w:t>
      </w:r>
    </w:p>
    <w:p w:rsidR="00D244DA" w:rsidRDefault="00D244DA" w:rsidP="00252241">
      <w:pPr>
        <w:pStyle w:val="ListParagraph"/>
        <w:numPr>
          <w:ilvl w:val="0"/>
          <w:numId w:val="3"/>
        </w:numPr>
        <w:tabs>
          <w:tab w:val="left" w:pos="384"/>
        </w:tabs>
        <w:spacing w:line="216" w:lineRule="exact"/>
        <w:ind w:right="138" w:hanging="283"/>
        <w:rPr>
          <w:sz w:val="18"/>
          <w:szCs w:val="18"/>
        </w:rPr>
      </w:pPr>
      <w:r w:rsidRPr="00AD63CC">
        <w:rPr>
          <w:sz w:val="18"/>
          <w:szCs w:val="18"/>
        </w:rPr>
        <w:t>Kaupp G</w:t>
      </w:r>
      <w:r>
        <w:rPr>
          <w:sz w:val="18"/>
          <w:szCs w:val="18"/>
        </w:rPr>
        <w:t xml:space="preserve"> (2009) Mechanochemistry: the varied applications of mechanical bond-breaking. CrystEngComm 11:388-403.</w:t>
      </w:r>
    </w:p>
    <w:p w:rsidR="00D244DA" w:rsidRDefault="00D244DA" w:rsidP="00252241">
      <w:pPr>
        <w:pStyle w:val="BodyText"/>
        <w:spacing w:before="85" w:line="216" w:lineRule="exact"/>
        <w:ind w:left="383" w:right="138" w:hanging="284"/>
        <w:jc w:val="both"/>
      </w:pPr>
      <w:r w:rsidRPr="002D4D3B">
        <w:rPr>
          <w:rFonts w:ascii="TeamViewer10" w:hAnsi="TeamViewer10" w:cs="TeamViewer10"/>
          <w:lang w:val="en-GB"/>
        </w:rPr>
        <w:t>4</w:t>
      </w:r>
      <w:r>
        <w:rPr>
          <w:lang w:val="en-GB"/>
        </w:rPr>
        <w:t xml:space="preserve">.  </w:t>
      </w:r>
      <w:r w:rsidRPr="00AD63CC">
        <w:rPr>
          <w:rFonts w:ascii="Calibri" w:hAnsi="Calibri" w:cs="Calibri"/>
          <w:lang w:val="en-GB"/>
        </w:rPr>
        <w:t>Kaupp G (2016) Organic solid-state reactions in Physical Organic Chemistry Encyclopedia, Vol. 2, First Edition, ed. Zerong Wang, Wiley, ISBN 978-1-1188-47045-9, 80 pp., in press.</w:t>
      </w:r>
      <w:r>
        <w:t xml:space="preserve"> </w:t>
      </w:r>
    </w:p>
    <w:p w:rsidR="00D244DA" w:rsidRDefault="00D244DA" w:rsidP="00252241">
      <w:pPr>
        <w:pStyle w:val="BodyText"/>
        <w:spacing w:before="85" w:line="216" w:lineRule="exact"/>
        <w:ind w:left="383" w:right="138" w:hanging="284"/>
        <w:jc w:val="both"/>
        <w:rPr>
          <w:rFonts w:ascii="Calibri" w:hAnsi="Calibri" w:cs="Calibri"/>
        </w:rPr>
      </w:pPr>
      <w:r w:rsidRPr="002D4D3B">
        <w:rPr>
          <w:rFonts w:ascii="Calibri" w:hAnsi="Calibri" w:cs="Calibri"/>
        </w:rPr>
        <w:t>5</w:t>
      </w:r>
      <w:r>
        <w:t xml:space="preserve">. </w:t>
      </w:r>
      <w:hyperlink r:id="rId10" w:history="1">
        <w:r w:rsidRPr="00AD63CC">
          <w:rPr>
            <w:rStyle w:val="Hyperlink"/>
            <w:rFonts w:ascii="Calibri" w:hAnsi="Calibri" w:cs="Calibri"/>
            <w:color w:val="000000"/>
            <w:u w:val="none"/>
          </w:rPr>
          <w:t>O. H. Qareaghaja</w:t>
        </w:r>
      </w:hyperlink>
      <w:r w:rsidRPr="00AD63CC">
        <w:rPr>
          <w:rStyle w:val="authorlink0"/>
          <w:rFonts w:ascii="Calibri" w:hAnsi="Calibri" w:cs="Calibri"/>
        </w:rPr>
        <w:t xml:space="preserve"> OH,</w:t>
      </w:r>
      <w:r w:rsidRPr="00AD63CC">
        <w:rPr>
          <w:rFonts w:ascii="Calibri" w:hAnsi="Calibri" w:cs="Calibri"/>
        </w:rPr>
        <w:t xml:space="preserve"> </w:t>
      </w:r>
      <w:hyperlink r:id="rId11" w:history="1">
        <w:r w:rsidRPr="00AD63CC">
          <w:rPr>
            <w:rStyle w:val="Hyperlink"/>
            <w:rFonts w:ascii="Calibri" w:hAnsi="Calibri" w:cs="Calibri"/>
            <w:color w:val="000000"/>
            <w:u w:val="none"/>
          </w:rPr>
          <w:t>Mashkouri</w:t>
        </w:r>
      </w:hyperlink>
      <w:r w:rsidRPr="00AD63CC">
        <w:rPr>
          <w:rFonts w:ascii="Calibri" w:hAnsi="Calibri" w:cs="Calibri"/>
        </w:rPr>
        <w:t xml:space="preserve"> </w:t>
      </w:r>
      <w:r w:rsidRPr="00AD63CC">
        <w:rPr>
          <w:rStyle w:val="authorlink0"/>
          <w:rFonts w:ascii="Calibri" w:hAnsi="Calibri" w:cs="Calibri"/>
        </w:rPr>
        <w:t>S,</w:t>
      </w:r>
      <w:hyperlink r:id="rId12" w:history="1">
        <w:r w:rsidRPr="00AD63CC">
          <w:rPr>
            <w:rStyle w:val="Hyperlink"/>
            <w:rFonts w:ascii="Calibri" w:hAnsi="Calibri" w:cs="Calibri"/>
            <w:color w:val="000000"/>
            <w:u w:val="none"/>
          </w:rPr>
          <w:t xml:space="preserve"> Naimi-Jamal</w:t>
        </w:r>
      </w:hyperlink>
      <w:r w:rsidRPr="00AD63CC">
        <w:rPr>
          <w:rStyle w:val="authorlink0"/>
          <w:rFonts w:ascii="Calibri" w:hAnsi="Calibri" w:cs="Calibri"/>
        </w:rPr>
        <w:t xml:space="preserve"> MR,  </w:t>
      </w:r>
      <w:hyperlink r:id="rId13" w:history="1">
        <w:r w:rsidRPr="00AD63CC">
          <w:rPr>
            <w:rStyle w:val="Hyperlink"/>
            <w:rFonts w:ascii="Calibri" w:hAnsi="Calibri" w:cs="Calibri"/>
            <w:color w:val="000000"/>
            <w:u w:val="none"/>
          </w:rPr>
          <w:t xml:space="preserve"> Kaupp G </w:t>
        </w:r>
      </w:hyperlink>
      <w:r>
        <w:rPr>
          <w:rStyle w:val="authorlink0"/>
          <w:rFonts w:ascii="Calibri" w:hAnsi="Calibri" w:cs="Calibri"/>
        </w:rPr>
        <w:t xml:space="preserve">(2014) </w:t>
      </w:r>
      <w:hyperlink r:id="rId14" w:history="1">
        <w:r w:rsidRPr="00AD63CC">
          <w:rPr>
            <w:rStyle w:val="Hyperlink"/>
            <w:rFonts w:ascii="Calibri" w:hAnsi="Calibri" w:cs="Calibri"/>
            <w:color w:val="000000"/>
            <w:u w:val="none"/>
            <w:shd w:val="clear" w:color="auto" w:fill="FFFFFF"/>
          </w:rPr>
          <w:t>Ball milling for the quantitative and specific solvent-free Knoevenagel condensation + Michael addition cascade in the synthesis of various 2-amino-4-aryl-3-cyano-4H-chromenes without heating</w:t>
        </w:r>
        <w:r>
          <w:rPr>
            <w:rStyle w:val="Hyperlink"/>
            <w:rFonts w:ascii="Calibri" w:hAnsi="Calibri" w:cs="Calibri"/>
            <w:color w:val="000000"/>
            <w:u w:val="none"/>
            <w:shd w:val="clear" w:color="auto" w:fill="FFFFFF"/>
          </w:rPr>
          <w:t>.</w:t>
        </w:r>
        <w:r w:rsidRPr="00AD63CC">
          <w:rPr>
            <w:rStyle w:val="Hyperlink"/>
            <w:rFonts w:ascii="Calibri" w:hAnsi="Calibri" w:cs="Calibri"/>
            <w:color w:val="000000"/>
            <w:u w:val="none"/>
            <w:shd w:val="clear" w:color="auto" w:fill="FFFFFF"/>
          </w:rPr>
          <w:t xml:space="preserve"> RSC Adv. 89</w:t>
        </w:r>
        <w:r>
          <w:rPr>
            <w:rStyle w:val="Hyperlink"/>
            <w:rFonts w:ascii="Calibri" w:hAnsi="Calibri" w:cs="Calibri"/>
            <w:color w:val="000000"/>
            <w:u w:val="none"/>
            <w:shd w:val="clear" w:color="auto" w:fill="FFFFFF"/>
          </w:rPr>
          <w:t>:</w:t>
        </w:r>
        <w:r w:rsidRPr="00AD63CC">
          <w:rPr>
            <w:rStyle w:val="Hyperlink"/>
            <w:rFonts w:ascii="Calibri" w:hAnsi="Calibri" w:cs="Calibri"/>
            <w:color w:val="000000"/>
            <w:u w:val="none"/>
            <w:shd w:val="clear" w:color="auto" w:fill="FFFFFF"/>
          </w:rPr>
          <w:t xml:space="preserve"> 48191-48201</w:t>
        </w:r>
      </w:hyperlink>
      <w:r>
        <w:rPr>
          <w:rFonts w:ascii="Calibri" w:hAnsi="Calibri" w:cs="Calibri"/>
        </w:rPr>
        <w:t>.</w:t>
      </w:r>
    </w:p>
    <w:p w:rsidR="00D244DA" w:rsidRPr="002D4D3B" w:rsidRDefault="00D244DA" w:rsidP="00252241">
      <w:pPr>
        <w:pStyle w:val="BodyText"/>
        <w:spacing w:before="85" w:line="216" w:lineRule="exact"/>
        <w:ind w:left="383" w:right="138" w:hanging="284"/>
        <w:jc w:val="both"/>
        <w:rPr>
          <w:rFonts w:ascii="Calibri" w:hAnsi="Calibri" w:cs="Calibri"/>
          <w:color w:val="000000"/>
        </w:rPr>
      </w:pPr>
      <w:r w:rsidRPr="002D4D3B">
        <w:rPr>
          <w:rFonts w:ascii="Calibri" w:hAnsi="Calibri" w:cs="Calibri"/>
        </w:rPr>
        <w:t>6.</w:t>
      </w:r>
      <w:r>
        <w:rPr>
          <w:rFonts w:ascii="Calibri" w:hAnsi="Calibri" w:cs="Calibri"/>
        </w:rPr>
        <w:t xml:space="preserve"> </w:t>
      </w:r>
      <w:r w:rsidRPr="002D4D3B">
        <w:rPr>
          <w:rFonts w:ascii="Calibri" w:hAnsi="Calibri" w:cs="Calibri"/>
        </w:rPr>
        <w:t xml:space="preserve"> </w:t>
      </w:r>
      <w:r w:rsidRPr="002D4D3B">
        <w:rPr>
          <w:rFonts w:ascii="Calibri" w:hAnsi="Calibri" w:cs="Calibri"/>
          <w:color w:val="000000"/>
        </w:rPr>
        <w:t>Kaupp G (20</w:t>
      </w:r>
      <w:r>
        <w:rPr>
          <w:rFonts w:ascii="Calibri" w:hAnsi="Calibri" w:cs="Calibri"/>
          <w:color w:val="000000"/>
        </w:rPr>
        <w:t>08</w:t>
      </w:r>
      <w:r w:rsidRPr="002D4D3B">
        <w:rPr>
          <w:rFonts w:ascii="Calibri" w:hAnsi="Calibri" w:cs="Calibri"/>
          <w:color w:val="000000"/>
        </w:rPr>
        <w:t>)</w:t>
      </w:r>
      <w:r>
        <w:rPr>
          <w:rFonts w:ascii="Calibri" w:hAnsi="Calibri" w:cs="Calibri"/>
          <w:color w:val="000000"/>
        </w:rPr>
        <w:t xml:space="preserve"> Waste-free synthesis and production all across chemistry with the benefit of self-assembled crystal packings. J. Phys. Org. Chem. 21:630-643</w:t>
      </w:r>
    </w:p>
    <w:p w:rsidR="00D244DA" w:rsidRPr="002D4D3B" w:rsidRDefault="00D244DA" w:rsidP="00252241">
      <w:pPr>
        <w:pStyle w:val="BodyText"/>
        <w:spacing w:before="85" w:line="216" w:lineRule="exact"/>
        <w:ind w:left="383" w:right="138" w:hanging="284"/>
        <w:jc w:val="both"/>
        <w:rPr>
          <w:rFonts w:ascii="Calibri" w:hAnsi="Calibri" w:cs="Calibri"/>
        </w:rPr>
      </w:pPr>
      <w:r w:rsidRPr="002D4D3B">
        <w:rPr>
          <w:rFonts w:ascii="Calibri" w:hAnsi="Calibri" w:cs="Calibri"/>
          <w:color w:val="000000"/>
        </w:rPr>
        <w:t xml:space="preserve">7. </w:t>
      </w:r>
      <w:r>
        <w:rPr>
          <w:rFonts w:ascii="Calibri" w:hAnsi="Calibri" w:cs="Calibri"/>
          <w:color w:val="000000"/>
        </w:rPr>
        <w:t xml:space="preserve"> </w:t>
      </w:r>
      <w:r w:rsidRPr="002D4D3B">
        <w:rPr>
          <w:rFonts w:ascii="Calibri" w:hAnsi="Calibri" w:cs="Calibri"/>
        </w:rPr>
        <w:t>Naimi-Jamal MR, Kaupp G (2012) Nitrogen dioxide for wasteless sustainable syntheses, in Advances in Chemistry Research (ed.Taylor JC), Vol. 11, Chapter 2, pp. 75-120; Nova Science Publishers, Hauppage, NY; ISBN: 978-1-61324-815-7.</w:t>
      </w:r>
    </w:p>
    <w:p w:rsidR="00D244DA" w:rsidRDefault="00D244DA" w:rsidP="00252241">
      <w:pPr>
        <w:pStyle w:val="BodyText"/>
        <w:spacing w:before="85" w:line="216" w:lineRule="exact"/>
        <w:ind w:left="383" w:right="138" w:hanging="284"/>
        <w:jc w:val="both"/>
      </w:pPr>
      <w:r w:rsidRPr="008B7F1B">
        <w:rPr>
          <w:rFonts w:ascii="Calibri" w:hAnsi="Calibri" w:cs="Calibri"/>
        </w:rPr>
        <w:t>8</w:t>
      </w:r>
      <w:r w:rsidRPr="002D4D3B">
        <w:t xml:space="preserve">. </w:t>
      </w:r>
      <w:r w:rsidRPr="00BC7284">
        <w:rPr>
          <w:rFonts w:ascii="Calibri" w:hAnsi="Calibri" w:cs="Calibri"/>
        </w:rPr>
        <w:t xml:space="preserve">Kaupp G, (2012) Solvent-Less Organic Synthesis, </w:t>
      </w:r>
      <w:r>
        <w:rPr>
          <w:rFonts w:ascii="Calibri" w:hAnsi="Calibri" w:cs="Calibri"/>
        </w:rPr>
        <w:t xml:space="preserve">in </w:t>
      </w:r>
      <w:r w:rsidRPr="00BC7284">
        <w:rPr>
          <w:rFonts w:ascii="Calibri" w:hAnsi="Calibri" w:cs="Calibri"/>
        </w:rPr>
        <w:t>Kirk-Othmer Encyclopedia of Chemical Technology, Wiley Online Library, 43 pp, published online April 13, 2012; DOI 10.1002/0471238961.solvkaup.a01.</w:t>
      </w:r>
    </w:p>
    <w:p w:rsidR="00D244DA" w:rsidRDefault="00D244DA" w:rsidP="00252241">
      <w:pPr>
        <w:pStyle w:val="BodyText"/>
        <w:spacing w:before="85" w:line="216" w:lineRule="exact"/>
        <w:ind w:left="383" w:right="138" w:hanging="284"/>
        <w:jc w:val="both"/>
        <w:rPr>
          <w:rFonts w:ascii="Calibri" w:hAnsi="Calibri" w:cs="Calibri"/>
        </w:rPr>
      </w:pPr>
      <w:r w:rsidRPr="008B7F1B">
        <w:rPr>
          <w:rFonts w:ascii="Calibri" w:hAnsi="Calibri" w:cs="Calibri"/>
        </w:rPr>
        <w:t xml:space="preserve">9. </w:t>
      </w:r>
      <w:r>
        <w:rPr>
          <w:rFonts w:ascii="Calibri" w:hAnsi="Calibri" w:cs="Calibri"/>
        </w:rPr>
        <w:t xml:space="preserve"> </w:t>
      </w:r>
      <w:r w:rsidRPr="008B7F1B">
        <w:rPr>
          <w:rFonts w:ascii="Calibri" w:hAnsi="Calibri" w:cs="Calibri"/>
        </w:rPr>
        <w:t>Kaupp G (2011) Reactive milling with metals for environmentally benign sustainable production</w:t>
      </w:r>
      <w:r>
        <w:rPr>
          <w:rFonts w:ascii="Calibri" w:hAnsi="Calibri" w:cs="Calibri"/>
        </w:rPr>
        <w:t>.</w:t>
      </w:r>
      <w:r w:rsidRPr="008B7F1B">
        <w:rPr>
          <w:rFonts w:ascii="Calibri" w:hAnsi="Calibri" w:cs="Calibri"/>
        </w:rPr>
        <w:t xml:space="preserve"> CrystEngComm, 2011, 13, 3108-3121</w:t>
      </w:r>
      <w:r>
        <w:rPr>
          <w:rFonts w:ascii="Calibri" w:hAnsi="Calibri" w:cs="Calibri"/>
        </w:rPr>
        <w:t>;</w:t>
      </w:r>
      <w:r w:rsidRPr="008B7F1B">
        <w:rPr>
          <w:rFonts w:ascii="Calibri" w:hAnsi="Calibri" w:cs="Calibri"/>
        </w:rPr>
        <w:t> </w:t>
      </w:r>
      <w:hyperlink r:id="rId15" w:tgtFrame="_blank" w:history="1">
        <w:r w:rsidRPr="008B7F1B">
          <w:rPr>
            <w:rStyle w:val="Hyperlink"/>
            <w:rFonts w:ascii="Calibri" w:hAnsi="Calibri" w:cs="Calibri"/>
          </w:rPr>
          <w:t>http://xlink.rsc.org/?DOI=c1ce05085k</w:t>
        </w:r>
      </w:hyperlink>
      <w:r>
        <w:rPr>
          <w:rFonts w:ascii="Calibri" w:hAnsi="Calibri" w:cs="Calibri"/>
        </w:rPr>
        <w:t>.</w:t>
      </w:r>
      <w:r w:rsidRPr="008B7F1B">
        <w:rPr>
          <w:rFonts w:ascii="Calibri" w:hAnsi="Calibri" w:cs="Calibri"/>
        </w:rPr>
        <w:t xml:space="preserve"> </w:t>
      </w:r>
    </w:p>
    <w:p w:rsidR="00D244DA" w:rsidRDefault="00D244DA">
      <w:pPr>
        <w:spacing w:line="200" w:lineRule="exact"/>
        <w:jc w:val="both"/>
        <w:rPr>
          <w:rFonts w:ascii="Calibri" w:hAnsi="Calibri" w:cs="Calibri"/>
        </w:rPr>
        <w:sectPr w:rsidR="00D244DA">
          <w:type w:val="continuous"/>
          <w:pgSz w:w="11910" w:h="16840"/>
          <w:pgMar w:top="1740" w:right="600" w:bottom="840" w:left="620" w:header="720" w:footer="720" w:gutter="0"/>
          <w:cols w:num="2" w:space="720" w:equalWidth="0">
            <w:col w:w="5214" w:space="138"/>
            <w:col w:w="5338"/>
          </w:cols>
        </w:sectPr>
      </w:pPr>
      <w:r>
        <w:rPr>
          <w:rFonts w:ascii="Calibri" w:hAnsi="Calibri" w:cs="Calibri"/>
        </w:rPr>
        <w:t xml:space="preserve">   </w:t>
      </w:r>
    </w:p>
    <w:p w:rsidR="00D244DA" w:rsidRDefault="00D244DA">
      <w:pPr>
        <w:pStyle w:val="BodyText"/>
        <w:rPr>
          <w:rFonts w:ascii="Calibri"/>
          <w:sz w:val="20"/>
          <w:szCs w:val="20"/>
        </w:rPr>
      </w:pPr>
    </w:p>
    <w:p w:rsidR="00D244DA" w:rsidRDefault="00D244DA">
      <w:pPr>
        <w:pStyle w:val="BodyText"/>
        <w:spacing w:line="40" w:lineRule="exact"/>
        <w:ind w:left="2202"/>
        <w:rPr>
          <w:rFonts w:ascii="Calibri"/>
          <w:sz w:val="4"/>
          <w:szCs w:val="4"/>
        </w:rPr>
      </w:pPr>
      <w:r>
        <w:rPr>
          <w:noProof/>
          <w:lang w:val="de-DE" w:eastAsia="de-DE"/>
        </w:rPr>
      </w:r>
      <w:r w:rsidRPr="009E54FE">
        <w:rPr>
          <w:rFonts w:ascii="Calibri"/>
          <w:noProof/>
          <w:sz w:val="4"/>
          <w:szCs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D244DA" w:rsidRDefault="00D244DA" w:rsidP="00404E5B">
      <w:pPr>
        <w:spacing w:before="92"/>
        <w:ind w:right="4234"/>
        <w:rPr>
          <w:rFonts w:ascii="Arial"/>
        </w:rPr>
      </w:pPr>
      <w:r>
        <w:rPr>
          <w:noProof/>
        </w:rPr>
        <w:t xml:space="preserve">              </w:t>
      </w:r>
      <w:r w:rsidRPr="00831A0D">
        <w:rPr>
          <w:noProof/>
          <w:lang w:val="de-DE" w:eastAsia="de-DE"/>
        </w:rPr>
        <w:pict>
          <v:shape id="_x0000_i1027" type="#_x0000_t75" style="width:110.25pt;height:133.5pt">
            <v:imagedata r:id="rId16" o:title=""/>
          </v:shape>
        </w:pict>
      </w:r>
    </w:p>
    <w:p w:rsidR="00D244DA" w:rsidRPr="003B7058" w:rsidRDefault="00D244DA">
      <w:pPr>
        <w:spacing w:before="41" w:line="154" w:lineRule="exact"/>
        <w:ind w:left="213" w:right="231"/>
        <w:jc w:val="both"/>
        <w:rPr>
          <w:rFonts w:ascii="Arial" w:hAnsi="Arial" w:cs="Arial"/>
          <w:sz w:val="16"/>
          <w:szCs w:val="16"/>
        </w:rPr>
      </w:pPr>
      <w:r w:rsidRPr="003B7058">
        <w:rPr>
          <w:rFonts w:ascii="Arial" w:hAnsi="Arial" w:cs="Arial"/>
          <w:sz w:val="16"/>
          <w:szCs w:val="16"/>
        </w:rPr>
        <w:t>Prof. Dr. Gerd Kaupp studied chemistry at the University of Würzburg, Germany and had postdoctoral appointments at Ames,</w:t>
      </w:r>
      <w:r>
        <w:rPr>
          <w:rFonts w:ascii="Arial" w:hAnsi="Arial" w:cs="Arial"/>
          <w:sz w:val="16"/>
          <w:szCs w:val="16"/>
        </w:rPr>
        <w:t xml:space="preserve"> </w:t>
      </w:r>
      <w:r w:rsidRPr="003B7058">
        <w:rPr>
          <w:rFonts w:ascii="Arial" w:hAnsi="Arial" w:cs="Arial"/>
          <w:sz w:val="16"/>
          <w:szCs w:val="16"/>
        </w:rPr>
        <w:t>Iowa, Lausanne, and Freiburg i. Br, where he became appointed as associate professor. From there he was appointed full professor at the University of Oldenburg in 1982. He guided a successful research group with various projects and cooperation with numerous industries and worldwide academic research groups. He served as guest professor for three international universities. Prof. Kaupp is now a retired member at the University of Oldenburg and pursues his scientific interests also with consulting. His expertise is in chemical kinetics, laser photochemistry, waste-free benign syntheses and productions, solid-state chemistry, reactive milling, mechanochemistry, atomic force microscopy AFM, scanning near-field optical microscopy SNOM, nanoscratching, nanoindentation, standardization in nanomechanics, and bionics. He is keynote speaker in these fields, published numerous scientific papers and books and is inventor of patents in solid-state and environmental chemistry</w:t>
      </w:r>
      <w:r>
        <w:rPr>
          <w:rFonts w:ascii="Arial" w:hAnsi="Arial" w:cs="Arial"/>
          <w:sz w:val="16"/>
          <w:szCs w:val="16"/>
        </w:rPr>
        <w:t>.</w:t>
      </w:r>
    </w:p>
    <w:p w:rsidR="00D244DA" w:rsidRDefault="00D244DA">
      <w:pPr>
        <w:spacing w:before="62"/>
        <w:ind w:left="4217" w:right="4235"/>
        <w:jc w:val="center"/>
        <w:rPr>
          <w:rFonts w:ascii="Arial"/>
          <w:sz w:val="14"/>
          <w:szCs w:val="14"/>
        </w:rPr>
      </w:pPr>
      <w:r>
        <w:rPr>
          <w:rFonts w:ascii="Arial" w:eastAsia="Times New Roman" w:cs="Arial"/>
          <w:sz w:val="14"/>
          <w:szCs w:val="14"/>
        </w:rPr>
        <w:t xml:space="preserve">Email: </w:t>
      </w:r>
      <w:hyperlink r:id="rId17" w:history="1">
        <w:r>
          <w:rPr>
            <w:rStyle w:val="Hyperlink"/>
            <w:rFonts w:ascii="Arial" w:eastAsia="Times New Roman" w:cs="Arial"/>
            <w:sz w:val="14"/>
            <w:szCs w:val="14"/>
          </w:rPr>
          <w:t>gerd.kaupp</w:t>
        </w:r>
        <w:r w:rsidRPr="00616076">
          <w:rPr>
            <w:rStyle w:val="Hyperlink"/>
            <w:rFonts w:ascii="Arial" w:eastAsia="Times New Roman" w:cs="Arial"/>
            <w:sz w:val="14"/>
            <w:szCs w:val="14"/>
          </w:rPr>
          <w:t>@</w:t>
        </w:r>
        <w:r>
          <w:rPr>
            <w:rStyle w:val="Hyperlink"/>
            <w:rFonts w:ascii="Arial" w:eastAsia="Times New Roman" w:cs="Arial"/>
            <w:sz w:val="14"/>
            <w:szCs w:val="14"/>
          </w:rPr>
          <w:t>uni-oldenburg.de</w:t>
        </w:r>
      </w:hyperlink>
    </w:p>
    <w:p w:rsidR="00D244DA" w:rsidRDefault="00D244DA">
      <w:pPr>
        <w:pStyle w:val="BodyText"/>
        <w:spacing w:before="2"/>
        <w:rPr>
          <w:rFonts w:ascii="Arial"/>
          <w:sz w:val="19"/>
          <w:szCs w:val="19"/>
        </w:rPr>
      </w:pPr>
      <w:r>
        <w:rPr>
          <w:noProof/>
          <w:lang w:val="de-DE" w:eastAsia="de-DE"/>
        </w:rPr>
        <w:pict>
          <v:line id="Line 3" o:spid="_x0000_s1033" style="position:absolute;z-index:251658240;visibility:visible;mso-wrap-distance-left:0;mso-wrap-distance-right:0;mso-position-horizontal-relative:page" from="162.1pt,13.25pt" to="433.15pt,13.25pt" strokecolor="#004080" strokeweight=".5pt">
            <w10:wrap type="topAndBottom" anchorx="page"/>
            <w10:anchorlock/>
          </v:line>
        </w:pict>
      </w:r>
    </w:p>
    <w:p w:rsidR="00D244DA" w:rsidRDefault="00D244DA">
      <w:pPr>
        <w:pStyle w:val="BodyText"/>
        <w:rPr>
          <w:rFonts w:ascii="Arial"/>
          <w:sz w:val="20"/>
          <w:szCs w:val="20"/>
        </w:rPr>
      </w:pPr>
    </w:p>
    <w:p w:rsidR="00D244DA" w:rsidRDefault="00D244DA">
      <w:pPr>
        <w:pStyle w:val="BodyText"/>
        <w:rPr>
          <w:rFonts w:ascii="Arial"/>
          <w:b/>
          <w:bCs/>
          <w:sz w:val="20"/>
          <w:szCs w:val="20"/>
        </w:rPr>
      </w:pPr>
    </w:p>
    <w:p w:rsidR="00D244DA" w:rsidRPr="005055B4" w:rsidRDefault="00D244DA">
      <w:pPr>
        <w:pStyle w:val="BodyText"/>
        <w:rPr>
          <w:rFonts w:ascii="Arial" w:eastAsia="Times New Roman" w:cs="Arial"/>
          <w:b/>
          <w:bCs/>
          <w:sz w:val="20"/>
          <w:szCs w:val="20"/>
        </w:rPr>
      </w:pPr>
      <w:r w:rsidRPr="005055B4">
        <w:rPr>
          <w:rFonts w:ascii="Arial" w:eastAsia="Times New Roman" w:cs="Arial"/>
          <w:b/>
          <w:bCs/>
          <w:sz w:val="20"/>
          <w:szCs w:val="20"/>
        </w:rPr>
        <w:t>Notes/comments:</w:t>
      </w:r>
    </w:p>
    <w:p w:rsidR="00D244DA" w:rsidRDefault="00D244DA" w:rsidP="00CF79DD">
      <w:pPr>
        <w:pStyle w:val="BodyText"/>
        <w:jc w:val="both"/>
        <w:rPr>
          <w:rFonts w:ascii="Minion Pro"/>
          <w:sz w:val="24"/>
          <w:szCs w:val="24"/>
        </w:rPr>
        <w:sectPr w:rsidR="00D244DA">
          <w:type w:val="continuous"/>
          <w:pgSz w:w="11910" w:h="16840"/>
          <w:pgMar w:top="1740" w:right="600" w:bottom="840" w:left="620" w:header="720" w:footer="720" w:gutter="0"/>
          <w:cols w:space="720"/>
        </w:sectPr>
      </w:pPr>
      <w:r>
        <w:t xml:space="preserve">Thank you for inviting me as a keynote speaker. My all-important topic covers all organic chemistry and reveals so many chances for totally avoiding wastes in the solid state, simply by profiting from it when avoiding melts and misguided recently proposed retrogressive "LAD" (liquid assisted grinding) with poor results. Thus, the whole story should be presented to all attendants with a plenary keynote lecture. A lecture in a parallel session would not appreciate the importance of the topic. I thus hope that you can arrange for a plenary lecture at the Amsterdam-Conference. </w:t>
      </w:r>
    </w:p>
    <w:p w:rsidR="00D244DA" w:rsidRDefault="00D244DA" w:rsidP="00CF79DD">
      <w:pPr>
        <w:pStyle w:val="BodyText"/>
        <w:spacing w:before="3"/>
      </w:pPr>
    </w:p>
    <w:sectPr w:rsidR="00D244D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4DA" w:rsidRDefault="00D244DA">
      <w:r>
        <w:separator/>
      </w:r>
    </w:p>
  </w:endnote>
  <w:endnote w:type="continuationSeparator" w:id="0">
    <w:p w:rsidR="00D244DA" w:rsidRDefault="00D244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altName w:val="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eamViewer10">
    <w:panose1 w:val="00000000000000000000"/>
    <w:charset w:val="00"/>
    <w:family w:val="decorative"/>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DA" w:rsidRDefault="00D244DA">
    <w:pPr>
      <w:pStyle w:val="BodyText"/>
      <w:spacing w:line="14" w:lineRule="auto"/>
      <w:rPr>
        <w:sz w:val="20"/>
        <w:szCs w:val="20"/>
      </w:rPr>
    </w:pPr>
    <w:r>
      <w:rPr>
        <w:noProof/>
        <w:lang w:val="de-DE" w:eastAsia="de-DE"/>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D244DA" w:rsidRPr="00B956A4" w:rsidRDefault="00D244DA">
                <w:pPr>
                  <w:spacing w:line="184" w:lineRule="exact"/>
                  <w:ind w:left="20" w:right="-12"/>
                  <w:rPr>
                    <w:rFonts w:ascii="Arial" w:eastAsia="Times New Roman" w:cs="Arial"/>
                    <w:color w:val="FFFFFF"/>
                    <w:sz w:val="16"/>
                    <w:szCs w:val="16"/>
                  </w:rPr>
                </w:pPr>
                <w:r w:rsidRPr="00B956A4">
                  <w:rPr>
                    <w:rFonts w:ascii="Arial" w:eastAsia="Times New Roman" w:cs="Arial"/>
                    <w:color w:val="FFFFFF"/>
                    <w:sz w:val="16"/>
                    <w:szCs w:val="16"/>
                  </w:rPr>
                  <w:t>J Pain Relief</w:t>
                </w:r>
              </w:p>
              <w:p w:rsidR="00D244DA" w:rsidRPr="00B956A4" w:rsidRDefault="00D244DA">
                <w:pPr>
                  <w:spacing w:before="8"/>
                  <w:ind w:left="20" w:right="-12"/>
                  <w:rPr>
                    <w:rFonts w:ascii="Arial" w:eastAsia="Times New Roman" w:cs="Arial"/>
                    <w:color w:val="FFFFFF"/>
                    <w:sz w:val="16"/>
                    <w:szCs w:val="16"/>
                  </w:rPr>
                </w:pPr>
                <w:r w:rsidRPr="00B956A4">
                  <w:rPr>
                    <w:rFonts w:ascii="Arial" w:eastAsia="Times New Roman" w:cs="Arial"/>
                    <w:color w:val="FFFFFF"/>
                    <w:sz w:val="16"/>
                    <w:szCs w:val="16"/>
                  </w:rPr>
                  <w:t>ISSN: 2167-0846 JPAR an open access journa</w:t>
                </w:r>
              </w:p>
            </w:txbxContent>
          </v:textbox>
          <w10:wrap anchorx="page" anchory="page"/>
        </v:shape>
      </w:pict>
    </w:r>
    <w:r>
      <w:rPr>
        <w:noProof/>
        <w:lang w:val="de-DE" w:eastAsia="de-DE"/>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D244DA" w:rsidRPr="00B956A4" w:rsidRDefault="00D244DA">
                <w:pPr>
                  <w:spacing w:line="269" w:lineRule="exact"/>
                  <w:jc w:val="center"/>
                  <w:rPr>
                    <w:rFonts w:ascii="Impact" w:eastAsia="Times New Roman" w:cs="Impact"/>
                    <w:color w:val="FFFFFF"/>
                    <w:sz w:val="24"/>
                    <w:szCs w:val="24"/>
                  </w:rPr>
                </w:pPr>
                <w:r w:rsidRPr="00B956A4">
                  <w:rPr>
                    <w:rFonts w:ascii="Impact" w:eastAsia="Times New Roman" w:cs="Impact"/>
                    <w:color w:val="FFFFFF"/>
                    <w:sz w:val="24"/>
                    <w:szCs w:val="24"/>
                  </w:rPr>
                  <w:t>Fibromyalgia 2016</w:t>
                </w:r>
              </w:p>
              <w:p w:rsidR="00D244DA" w:rsidRPr="00B956A4" w:rsidRDefault="00D244DA">
                <w:pPr>
                  <w:spacing w:before="29"/>
                  <w:jc w:val="center"/>
                  <w:rPr>
                    <w:rFonts w:ascii="Arial" w:eastAsia="Times New Roman" w:cs="Arial"/>
                    <w:color w:val="FFFFFF"/>
                    <w:sz w:val="16"/>
                    <w:szCs w:val="16"/>
                  </w:rPr>
                </w:pPr>
                <w:r w:rsidRPr="00B956A4">
                  <w:rPr>
                    <w:rFonts w:ascii="Arial" w:eastAsia="Times New Roman" w:cs="Arial"/>
                    <w:color w:val="FFFFFF"/>
                    <w:sz w:val="16"/>
                    <w:szCs w:val="16"/>
                  </w:rPr>
                  <w:t>June 15-16, 2016</w:t>
                </w:r>
              </w:p>
            </w:txbxContent>
          </v:textbox>
          <w10:wrap anchorx="page" anchory="page"/>
        </v:shape>
      </w:pict>
    </w:r>
    <w:r>
      <w:rPr>
        <w:noProof/>
        <w:lang w:val="de-DE" w:eastAsia="de-DE"/>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D244DA" w:rsidRPr="00B956A4" w:rsidRDefault="00D244DA">
                <w:pPr>
                  <w:spacing w:line="184" w:lineRule="exact"/>
                  <w:ind w:right="18"/>
                  <w:jc w:val="right"/>
                  <w:rPr>
                    <w:rFonts w:ascii="Arial" w:eastAsia="Times New Roman" w:cs="Arial"/>
                    <w:color w:val="FFFFFF"/>
                    <w:sz w:val="16"/>
                    <w:szCs w:val="16"/>
                  </w:rPr>
                </w:pPr>
                <w:r w:rsidRPr="00B956A4">
                  <w:rPr>
                    <w:rFonts w:ascii="Arial" w:eastAsia="Times New Roman" w:cs="Arial"/>
                    <w:color w:val="FFFFFF"/>
                    <w:sz w:val="16"/>
                    <w:szCs w:val="16"/>
                  </w:rPr>
                  <w:t>Volume 5, Issue 3(Suppl)</w:t>
                </w:r>
              </w:p>
              <w:p w:rsidR="00D244DA" w:rsidRPr="00B956A4" w:rsidRDefault="00D244DA">
                <w:pPr>
                  <w:spacing w:before="116"/>
                  <w:ind w:right="18"/>
                  <w:jc w:val="right"/>
                  <w:rPr>
                    <w:rFonts w:ascii="Minion Pro" w:eastAsia="Times New Roman" w:cs="Minion Pro"/>
                    <w:color w:val="FFFFFF"/>
                    <w:sz w:val="16"/>
                    <w:szCs w:val="16"/>
                  </w:rPr>
                </w:pPr>
                <w:r w:rsidRPr="00B956A4">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4DA" w:rsidRDefault="00D244DA">
      <w:r>
        <w:separator/>
      </w:r>
    </w:p>
  </w:footnote>
  <w:footnote w:type="continuationSeparator" w:id="0">
    <w:p w:rsidR="00D244DA" w:rsidRDefault="00D244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4DA" w:rsidRDefault="00D244DA">
    <w:pPr>
      <w:pStyle w:val="BodyText"/>
      <w:spacing w:line="14" w:lineRule="auto"/>
      <w:rPr>
        <w:sz w:val="20"/>
        <w:szCs w:val="20"/>
      </w:rPr>
    </w:pPr>
    <w:r>
      <w:rPr>
        <w:noProof/>
        <w:lang w:val="de-DE" w:eastAsia="de-DE"/>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D244DA" w:rsidRPr="00B956A4" w:rsidRDefault="00D244DA">
                <w:pPr>
                  <w:spacing w:before="2" w:line="249" w:lineRule="auto"/>
                  <w:ind w:left="156" w:right="18" w:hanging="137"/>
                  <w:rPr>
                    <w:rFonts w:ascii="Arial"/>
                    <w:color w:val="FFFFFF"/>
                    <w:sz w:val="14"/>
                    <w:szCs w:val="14"/>
                  </w:rPr>
                </w:pPr>
                <w:r w:rsidRPr="00B956A4">
                  <w:rPr>
                    <w:rFonts w:ascii="Arial" w:eastAsia="Times New Roman" w:cs="Arial"/>
                    <w:color w:val="FFFFFF"/>
                    <w:sz w:val="14"/>
                    <w:szCs w:val="14"/>
                  </w:rPr>
                  <w:t xml:space="preserve">T Furuta et al., J Pai n Relief 2016, 5:3(Suppl) </w:t>
                </w:r>
                <w:hyperlink r:id="rId1">
                  <w:r w:rsidRPr="00B956A4">
                    <w:rPr>
                      <w:rFonts w:ascii="Arial" w:eastAsia="Times New Roman" w:cs="Arial"/>
                      <w:color w:val="FFFFFF"/>
                      <w:sz w:val="14"/>
                      <w:szCs w:val="14"/>
                    </w:rPr>
                    <w:t>http://dx.doi.org/10.4172/2167-0846.C1.006</w:t>
                  </w:r>
                </w:hyperlink>
              </w:p>
            </w:txbxContent>
          </v:textbox>
          <w10:wrap anchorx="page" anchory="page"/>
        </v:shape>
      </w:pict>
    </w:r>
    <w:r>
      <w:rPr>
        <w:noProof/>
        <w:lang w:val="de-DE" w:eastAsia="de-DE"/>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D244DA" w:rsidRPr="00B956A4" w:rsidRDefault="00D244DA">
                <w:pPr>
                  <w:pStyle w:val="BodyText"/>
                  <w:spacing w:line="187" w:lineRule="exact"/>
                  <w:ind w:left="20" w:right="-10"/>
                  <w:rPr>
                    <w:rFonts w:ascii="Myriad Pro" w:eastAsia="Times New Roman" w:cs="Myriad Pro"/>
                    <w:color w:val="FFFFFF"/>
                  </w:rPr>
                </w:pPr>
                <w:r w:rsidRPr="00B956A4">
                  <w:rPr>
                    <w:rFonts w:ascii="Myriad Pro" w:eastAsia="Times New Roman" w:cs="Myriad Pro"/>
                    <w:color w:val="FFFFFF"/>
                  </w:rPr>
                  <w:t>International Conference on</w:t>
                </w:r>
              </w:p>
              <w:p w:rsidR="00D244DA" w:rsidRPr="00B956A4" w:rsidRDefault="00D244DA">
                <w:pPr>
                  <w:spacing w:line="614" w:lineRule="exact"/>
                  <w:ind w:left="20" w:right="-10"/>
                  <w:rPr>
                    <w:rFonts w:ascii="Minion Pro" w:eastAsia="Times New Roman" w:cs="Minion Pro"/>
                    <w:color w:val="FFFFFF"/>
                    <w:sz w:val="24"/>
                    <w:szCs w:val="24"/>
                  </w:rPr>
                </w:pPr>
                <w:r w:rsidRPr="00B956A4">
                  <w:rPr>
                    <w:rFonts w:ascii="Impact" w:eastAsia="Times New Roman" w:cs="Impact"/>
                    <w:color w:val="FFFFFF"/>
                    <w:sz w:val="52"/>
                    <w:szCs w:val="52"/>
                  </w:rPr>
                  <w:t xml:space="preserve">Fibromyalgia and Chronic Pain </w:t>
                </w:r>
                <w:r w:rsidRPr="00B956A4">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embedSystemFont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60F0A"/>
    <w:rsid w:val="000C6C33"/>
    <w:rsid w:val="000E2911"/>
    <w:rsid w:val="000F0E38"/>
    <w:rsid w:val="001145D4"/>
    <w:rsid w:val="00122E7A"/>
    <w:rsid w:val="001263DF"/>
    <w:rsid w:val="00196F71"/>
    <w:rsid w:val="00252241"/>
    <w:rsid w:val="00292ED9"/>
    <w:rsid w:val="002D4D3B"/>
    <w:rsid w:val="003B7058"/>
    <w:rsid w:val="003E30E3"/>
    <w:rsid w:val="00404E5B"/>
    <w:rsid w:val="00414F7B"/>
    <w:rsid w:val="00430D9A"/>
    <w:rsid w:val="004355DC"/>
    <w:rsid w:val="004749B4"/>
    <w:rsid w:val="00494130"/>
    <w:rsid w:val="004F3523"/>
    <w:rsid w:val="005055B4"/>
    <w:rsid w:val="005973B9"/>
    <w:rsid w:val="0059784D"/>
    <w:rsid w:val="005B3A56"/>
    <w:rsid w:val="005C61C2"/>
    <w:rsid w:val="005D4849"/>
    <w:rsid w:val="00600E6E"/>
    <w:rsid w:val="006060CE"/>
    <w:rsid w:val="00616076"/>
    <w:rsid w:val="00616F10"/>
    <w:rsid w:val="0063497F"/>
    <w:rsid w:val="006405EB"/>
    <w:rsid w:val="006B7BD6"/>
    <w:rsid w:val="006C1FF9"/>
    <w:rsid w:val="007C6688"/>
    <w:rsid w:val="007F6420"/>
    <w:rsid w:val="00831A0D"/>
    <w:rsid w:val="00873DF0"/>
    <w:rsid w:val="008756E6"/>
    <w:rsid w:val="008A4BFC"/>
    <w:rsid w:val="008B7F1B"/>
    <w:rsid w:val="009129FE"/>
    <w:rsid w:val="009B2D44"/>
    <w:rsid w:val="009E54FE"/>
    <w:rsid w:val="00A07E82"/>
    <w:rsid w:val="00A9710C"/>
    <w:rsid w:val="00AD63CC"/>
    <w:rsid w:val="00AE3E37"/>
    <w:rsid w:val="00B21A57"/>
    <w:rsid w:val="00B956A4"/>
    <w:rsid w:val="00BC7284"/>
    <w:rsid w:val="00C33602"/>
    <w:rsid w:val="00CD6F55"/>
    <w:rsid w:val="00CF79DD"/>
    <w:rsid w:val="00D244DA"/>
    <w:rsid w:val="00D45E34"/>
    <w:rsid w:val="00DE3104"/>
    <w:rsid w:val="00ED44CF"/>
    <w:rsid w:val="00F11FA0"/>
    <w:rsid w:val="00F72EEA"/>
    <w:rsid w:val="00F84CAE"/>
    <w:rsid w:val="00F853CB"/>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Document Map"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5A6"/>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8045A6"/>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8045A6"/>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imes New Roman" w:hAnsi="Tahoma" w:cs="Tahoma"/>
      <w:sz w:val="16"/>
      <w:szCs w:val="16"/>
    </w:rPr>
  </w:style>
  <w:style w:type="character" w:styleId="Hyperlink">
    <w:name w:val="Hyperlink"/>
    <w:basedOn w:val="DefaultParagraphFont"/>
    <w:uiPriority w:val="99"/>
    <w:rsid w:val="008756E6"/>
    <w:rPr>
      <w:color w:val="0000FF"/>
      <w:u w:val="single"/>
    </w:rPr>
  </w:style>
  <w:style w:type="paragraph" w:styleId="DocumentMap">
    <w:name w:val="Document Map"/>
    <w:basedOn w:val="Normal"/>
    <w:link w:val="DocumentMapChar"/>
    <w:uiPriority w:val="99"/>
    <w:semiHidden/>
    <w:rsid w:val="003E30E3"/>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8045A6"/>
    <w:rPr>
      <w:rFonts w:ascii="Times New Roman" w:hAnsi="Times New Roman"/>
      <w:sz w:val="0"/>
      <w:szCs w:val="0"/>
      <w:lang w:val="en-US" w:eastAsia="en-US"/>
    </w:rPr>
  </w:style>
  <w:style w:type="character" w:customStyle="1" w:styleId="authorlink0">
    <w:name w:val="authorlink0"/>
    <w:basedOn w:val="DefaultParagraphFont"/>
    <w:uiPriority w:val="99"/>
    <w:rsid w:val="00AD63CC"/>
  </w:style>
</w:styles>
</file>

<file path=word/webSettings.xml><?xml version="1.0" encoding="utf-8"?>
<w:webSettings xmlns:r="http://schemas.openxmlformats.org/officeDocument/2006/relationships" xmlns:w="http://schemas.openxmlformats.org/wordprocessingml/2006/main">
  <w:divs>
    <w:div w:id="956568661">
      <w:marLeft w:val="0"/>
      <w:marRight w:val="0"/>
      <w:marTop w:val="0"/>
      <w:marBottom w:val="0"/>
      <w:divBdr>
        <w:top w:val="none" w:sz="0" w:space="0" w:color="auto"/>
        <w:left w:val="none" w:sz="0" w:space="0" w:color="auto"/>
        <w:bottom w:val="none" w:sz="0" w:space="0" w:color="auto"/>
        <w:right w:val="none" w:sz="0" w:space="0" w:color="auto"/>
      </w:divBdr>
    </w:div>
    <w:div w:id="956568662">
      <w:marLeft w:val="0"/>
      <w:marRight w:val="0"/>
      <w:marTop w:val="0"/>
      <w:marBottom w:val="0"/>
      <w:divBdr>
        <w:top w:val="none" w:sz="0" w:space="0" w:color="auto"/>
        <w:left w:val="none" w:sz="0" w:space="0" w:color="auto"/>
        <w:bottom w:val="none" w:sz="0" w:space="0" w:color="auto"/>
        <w:right w:val="none" w:sz="0" w:space="0" w:color="auto"/>
      </w:divBdr>
    </w:div>
    <w:div w:id="9565686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ubs.rsc.org/en/results?searchtext=Author%3AGerd%20Kaup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pubs.rsc.org/en/results?searchtext=Author%3AMOHAMMAD%20REZA%20NAIMI-JAMAL" TargetMode="External"/><Relationship Id="rId17" Type="http://schemas.openxmlformats.org/officeDocument/2006/relationships/hyperlink" Target="mailto:drXXXXXXX@xxxmail.com" TargetMode="External"/><Relationship Id="rId2" Type="http://schemas.openxmlformats.org/officeDocument/2006/relationships/styles" Target="styles.xml"/><Relationship Id="rId16"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ubs.rsc.org/en/results?searchtext=Author%3Asara%20mashkouri" TargetMode="External"/><Relationship Id="rId5" Type="http://schemas.openxmlformats.org/officeDocument/2006/relationships/footnotes" Target="footnotes.xml"/><Relationship Id="rId15" Type="http://schemas.openxmlformats.org/officeDocument/2006/relationships/hyperlink" Target="http://xlink.rsc.org/?DOI=c1ce05085k" TargetMode="External"/><Relationship Id="rId10" Type="http://schemas.openxmlformats.org/officeDocument/2006/relationships/hyperlink" Target="http://pubs.rsc.org/en/results?searchtext=Author%3AOmid%20Hosseinchi%20Qareaghaj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hyperlink" Target="http://pubs.rsc.org/en/results?searchtext=Author%3AGerd%20Kaupp"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858</Words>
  <Characters>5410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1000 wastefree solid-state syntheses from 2 mmol to industrial scale and processes with 100% yield in 26 reaction types  </dc:title>
  <dc:subject/>
  <dc:creator>mehaboobi shaik</dc:creator>
  <cp:keywords/>
  <dc:description/>
  <cp:lastModifiedBy>Kaupp</cp:lastModifiedBy>
  <cp:revision>2</cp:revision>
  <dcterms:created xsi:type="dcterms:W3CDTF">2016-10-05T00:09:00Z</dcterms:created>
  <dcterms:modified xsi:type="dcterms:W3CDTF">2016-10-05T00:09:00Z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