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5A6" w:rsidRDefault="006565A6" w:rsidP="006565A6">
      <w:pPr>
        <w:spacing w:line="360" w:lineRule="auto"/>
        <w:jc w:val="lowKashida"/>
        <w:rPr>
          <w:rFonts w:asciiTheme="majorBidi" w:hAnsiTheme="majorBidi" w:cstheme="majorBidi"/>
          <w:b/>
          <w:bCs/>
          <w:sz w:val="28"/>
          <w:szCs w:val="28"/>
        </w:rPr>
      </w:pPr>
      <w:r w:rsidRPr="00060890">
        <w:rPr>
          <w:rFonts w:ascii="Times New Roman" w:hAnsi="Times New Roman" w:cs="Times New Roman"/>
          <w:b/>
          <w:bCs/>
          <w:sz w:val="24"/>
          <w:szCs w:val="24"/>
        </w:rPr>
        <w:t>R</w:t>
      </w:r>
      <w:r w:rsidRPr="00060890">
        <w:rPr>
          <w:rFonts w:asciiTheme="majorBidi" w:hAnsiTheme="majorBidi" w:cstheme="majorBidi"/>
          <w:b/>
          <w:bCs/>
          <w:sz w:val="28"/>
          <w:szCs w:val="28"/>
        </w:rPr>
        <w:t>efractive error components</w:t>
      </w:r>
      <w:r>
        <w:rPr>
          <w:rFonts w:asciiTheme="majorBidi" w:hAnsiTheme="majorBidi" w:cstheme="majorBidi"/>
          <w:b/>
          <w:bCs/>
          <w:sz w:val="28"/>
          <w:szCs w:val="28"/>
        </w:rPr>
        <w:t xml:space="preserve"> and higher-order aberrations in</w:t>
      </w:r>
      <w:r w:rsidRPr="00FE51E4">
        <w:rPr>
          <w:rFonts w:asciiTheme="majorBidi" w:hAnsiTheme="majorBidi" w:cstheme="majorBidi"/>
          <w:b/>
          <w:bCs/>
          <w:sz w:val="28"/>
          <w:szCs w:val="28"/>
        </w:rPr>
        <w:t xml:space="preserve"> simple myopia</w:t>
      </w:r>
      <w:r>
        <w:rPr>
          <w:rFonts w:asciiTheme="majorBidi" w:hAnsiTheme="majorBidi" w:cstheme="majorBidi"/>
          <w:b/>
          <w:bCs/>
          <w:sz w:val="28"/>
          <w:szCs w:val="28"/>
        </w:rPr>
        <w:t>,</w:t>
      </w:r>
      <w:r w:rsidRPr="00FE51E4">
        <w:rPr>
          <w:rFonts w:asciiTheme="majorBidi" w:hAnsiTheme="majorBidi" w:cstheme="majorBidi"/>
          <w:b/>
          <w:bCs/>
          <w:sz w:val="28"/>
          <w:szCs w:val="28"/>
        </w:rPr>
        <w:t xml:space="preserve"> compound myopic astigmatism</w:t>
      </w:r>
      <w:r>
        <w:rPr>
          <w:rFonts w:asciiTheme="majorBidi" w:hAnsiTheme="majorBidi" w:cstheme="majorBidi"/>
          <w:b/>
          <w:bCs/>
          <w:sz w:val="28"/>
          <w:szCs w:val="28"/>
        </w:rPr>
        <w:t>, and simple astigmatism: Part 1</w:t>
      </w:r>
    </w:p>
    <w:p w:rsidR="006565A6" w:rsidRDefault="006565A6" w:rsidP="006565A6">
      <w:pPr>
        <w:spacing w:line="360" w:lineRule="auto"/>
        <w:jc w:val="lowKashida"/>
        <w:rPr>
          <w:rFonts w:asciiTheme="majorBidi" w:hAnsiTheme="majorBidi" w:cstheme="majorBidi"/>
          <w:b/>
          <w:bCs/>
          <w:sz w:val="24"/>
          <w:szCs w:val="24"/>
        </w:rPr>
      </w:pPr>
      <w:r>
        <w:rPr>
          <w:rFonts w:asciiTheme="majorBidi" w:hAnsiTheme="majorBidi" w:cstheme="majorBidi"/>
          <w:b/>
          <w:bCs/>
          <w:sz w:val="24"/>
          <w:szCs w:val="24"/>
        </w:rPr>
        <w:t xml:space="preserve">Purpose: </w:t>
      </w:r>
      <w:r w:rsidRPr="003170C0">
        <w:rPr>
          <w:rFonts w:asciiTheme="majorBidi" w:hAnsiTheme="majorBidi" w:cstheme="majorBidi"/>
          <w:sz w:val="24"/>
          <w:szCs w:val="24"/>
        </w:rPr>
        <w:t xml:space="preserve">To compare </w:t>
      </w:r>
      <w:r>
        <w:rPr>
          <w:rFonts w:asciiTheme="majorBidi" w:hAnsiTheme="majorBidi" w:cstheme="majorBidi"/>
          <w:sz w:val="24"/>
          <w:szCs w:val="24"/>
        </w:rPr>
        <w:t xml:space="preserve">refractive error components </w:t>
      </w:r>
      <w:r w:rsidRPr="003170C0">
        <w:rPr>
          <w:rFonts w:asciiTheme="majorBidi" w:hAnsiTheme="majorBidi" w:cstheme="majorBidi"/>
          <w:sz w:val="24"/>
          <w:szCs w:val="24"/>
        </w:rPr>
        <w:t>and higher order aberrations</w:t>
      </w:r>
      <w:r>
        <w:rPr>
          <w:rFonts w:asciiTheme="majorBidi" w:hAnsiTheme="majorBidi" w:cstheme="majorBidi"/>
          <w:sz w:val="24"/>
          <w:szCs w:val="24"/>
        </w:rPr>
        <w:t xml:space="preserve"> (HOA) in</w:t>
      </w:r>
      <w:r w:rsidRPr="003170C0">
        <w:rPr>
          <w:rFonts w:asciiTheme="majorBidi" w:hAnsiTheme="majorBidi" w:cstheme="majorBidi"/>
          <w:sz w:val="24"/>
          <w:szCs w:val="24"/>
        </w:rPr>
        <w:t xml:space="preserve"> </w:t>
      </w:r>
      <w:r>
        <w:rPr>
          <w:rFonts w:asciiTheme="majorBidi" w:hAnsiTheme="majorBidi" w:cstheme="majorBidi"/>
          <w:sz w:val="24"/>
          <w:szCs w:val="24"/>
        </w:rPr>
        <w:t>a population of simple myopia, compound myopic astigmatism and simple astigmatism scheduled for refractive surgery</w:t>
      </w:r>
      <w:r w:rsidRPr="003170C0">
        <w:rPr>
          <w:rFonts w:asciiTheme="majorBidi" w:hAnsiTheme="majorBidi" w:cstheme="majorBidi"/>
          <w:sz w:val="24"/>
          <w:szCs w:val="24"/>
        </w:rPr>
        <w:t>.</w:t>
      </w:r>
      <w:r>
        <w:rPr>
          <w:rFonts w:asciiTheme="majorBidi" w:hAnsiTheme="majorBidi" w:cstheme="majorBidi"/>
          <w:b/>
          <w:bCs/>
          <w:sz w:val="24"/>
          <w:szCs w:val="24"/>
        </w:rPr>
        <w:t xml:space="preserve"> </w:t>
      </w:r>
    </w:p>
    <w:p w:rsidR="006565A6" w:rsidRDefault="006565A6" w:rsidP="006565A6">
      <w:pPr>
        <w:spacing w:line="360" w:lineRule="auto"/>
        <w:jc w:val="lowKashida"/>
        <w:rPr>
          <w:rFonts w:asciiTheme="majorBidi" w:hAnsiTheme="majorBidi" w:cstheme="majorBidi"/>
          <w:sz w:val="24"/>
          <w:szCs w:val="24"/>
        </w:rPr>
      </w:pPr>
      <w:r>
        <w:rPr>
          <w:rFonts w:asciiTheme="majorBidi" w:hAnsiTheme="majorBidi" w:cstheme="majorBidi"/>
          <w:b/>
          <w:bCs/>
          <w:sz w:val="24"/>
          <w:szCs w:val="24"/>
        </w:rPr>
        <w:t xml:space="preserve">Method: </w:t>
      </w:r>
      <w:r>
        <w:rPr>
          <w:rFonts w:asciiTheme="majorBidi" w:hAnsiTheme="majorBidi" w:cstheme="majorBidi"/>
          <w:sz w:val="24"/>
          <w:szCs w:val="24"/>
        </w:rPr>
        <w:t xml:space="preserve">In a retrospective study design, a total of 1421 right eyes of simple myope, compound myopic astigmatism and simple astigmatism populations aged 18-40 years old, were analyzed. First, HOAs were compared as a function of refractive error types. Secondly, for the compound myopic astigmatism and simple astigmatism subgroups, HOAs were compared as a function of with-the-rule and against the rule astigmatism. </w:t>
      </w:r>
      <w:r w:rsidRPr="00BB4DFB">
        <w:rPr>
          <w:rFonts w:asciiTheme="majorBidi" w:hAnsiTheme="majorBidi" w:cstheme="majorBidi"/>
          <w:sz w:val="24"/>
          <w:szCs w:val="24"/>
        </w:rPr>
        <w:t xml:space="preserve">For the various comparisons non-parametric </w:t>
      </w:r>
      <w:proofErr w:type="spellStart"/>
      <w:r w:rsidRPr="00BB4DFB">
        <w:rPr>
          <w:rFonts w:asciiTheme="majorBidi" w:hAnsiTheme="majorBidi" w:cstheme="majorBidi"/>
          <w:sz w:val="24"/>
          <w:szCs w:val="24"/>
        </w:rPr>
        <w:t>Kruskal</w:t>
      </w:r>
      <w:proofErr w:type="spellEnd"/>
      <w:r w:rsidRPr="00BB4DFB">
        <w:rPr>
          <w:rFonts w:asciiTheme="majorBidi" w:hAnsiTheme="majorBidi" w:cstheme="majorBidi"/>
          <w:sz w:val="24"/>
          <w:szCs w:val="24"/>
        </w:rPr>
        <w:t xml:space="preserve">-Wallis-H, Spearman’s correlations, </w:t>
      </w:r>
      <w:r>
        <w:rPr>
          <w:rFonts w:asciiTheme="majorBidi" w:hAnsiTheme="majorBidi" w:cstheme="majorBidi"/>
          <w:sz w:val="24"/>
          <w:szCs w:val="24"/>
        </w:rPr>
        <w:t xml:space="preserve">and </w:t>
      </w:r>
      <w:r w:rsidRPr="00BB4DFB">
        <w:rPr>
          <w:rFonts w:asciiTheme="majorBidi" w:hAnsiTheme="majorBidi" w:cstheme="majorBidi"/>
          <w:sz w:val="24"/>
          <w:szCs w:val="24"/>
        </w:rPr>
        <w:t>Analysis of Covariance, w</w:t>
      </w:r>
      <w:r>
        <w:rPr>
          <w:rFonts w:asciiTheme="majorBidi" w:hAnsiTheme="majorBidi" w:cstheme="majorBidi"/>
          <w:sz w:val="24"/>
          <w:szCs w:val="24"/>
        </w:rPr>
        <w:t>ere</w:t>
      </w:r>
      <w:r w:rsidRPr="00BB4DFB">
        <w:rPr>
          <w:rFonts w:asciiTheme="majorBidi" w:hAnsiTheme="majorBidi" w:cstheme="majorBidi"/>
          <w:sz w:val="24"/>
          <w:szCs w:val="24"/>
        </w:rPr>
        <w:t xml:space="preserve"> applied.</w:t>
      </w:r>
    </w:p>
    <w:p w:rsidR="006565A6" w:rsidRDefault="006565A6" w:rsidP="006565A6">
      <w:pPr>
        <w:spacing w:line="360" w:lineRule="auto"/>
        <w:jc w:val="lowKashida"/>
        <w:rPr>
          <w:rFonts w:asciiTheme="majorBidi" w:hAnsiTheme="majorBidi" w:cstheme="majorBidi"/>
          <w:sz w:val="24"/>
          <w:szCs w:val="24"/>
        </w:rPr>
      </w:pPr>
      <w:r>
        <w:rPr>
          <w:rFonts w:asciiTheme="majorBidi" w:hAnsiTheme="majorBidi" w:cstheme="majorBidi"/>
          <w:b/>
          <w:bCs/>
          <w:sz w:val="24"/>
          <w:szCs w:val="24"/>
        </w:rPr>
        <w:t xml:space="preserve">Results: </w:t>
      </w:r>
      <w:r>
        <w:rPr>
          <w:rFonts w:asciiTheme="majorBidi" w:hAnsiTheme="majorBidi" w:cstheme="majorBidi"/>
          <w:sz w:val="24"/>
          <w:szCs w:val="24"/>
        </w:rPr>
        <w:t>T</w:t>
      </w:r>
      <w:r w:rsidRPr="009F45D7">
        <w:rPr>
          <w:rFonts w:asciiTheme="majorBidi" w:hAnsiTheme="majorBidi" w:cstheme="majorBidi"/>
          <w:sz w:val="24"/>
          <w:szCs w:val="24"/>
        </w:rPr>
        <w:t xml:space="preserve">he comparison </w:t>
      </w:r>
      <w:r>
        <w:rPr>
          <w:rFonts w:asciiTheme="majorBidi" w:hAnsiTheme="majorBidi" w:cstheme="majorBidi"/>
          <w:sz w:val="24"/>
          <w:szCs w:val="24"/>
        </w:rPr>
        <w:t>between</w:t>
      </w:r>
      <w:r w:rsidRPr="009F45D7">
        <w:rPr>
          <w:rFonts w:asciiTheme="majorBidi" w:hAnsiTheme="majorBidi" w:cstheme="majorBidi"/>
          <w:sz w:val="24"/>
          <w:szCs w:val="24"/>
        </w:rPr>
        <w:t xml:space="preserve"> </w:t>
      </w:r>
      <w:r>
        <w:rPr>
          <w:rFonts w:asciiTheme="majorBidi" w:hAnsiTheme="majorBidi" w:cstheme="majorBidi"/>
          <w:sz w:val="24"/>
          <w:szCs w:val="24"/>
        </w:rPr>
        <w:t>HOA</w:t>
      </w:r>
      <w:r w:rsidRPr="009F45D7">
        <w:rPr>
          <w:rFonts w:asciiTheme="majorBidi" w:hAnsiTheme="majorBidi" w:cstheme="majorBidi"/>
          <w:sz w:val="24"/>
          <w:szCs w:val="24"/>
        </w:rPr>
        <w:t xml:space="preserve"> </w:t>
      </w:r>
      <w:r>
        <w:rPr>
          <w:rFonts w:asciiTheme="majorBidi" w:hAnsiTheme="majorBidi" w:cstheme="majorBidi"/>
          <w:sz w:val="24"/>
          <w:szCs w:val="24"/>
        </w:rPr>
        <w:t>and</w:t>
      </w:r>
      <w:r w:rsidRPr="009F45D7">
        <w:rPr>
          <w:rFonts w:asciiTheme="majorBidi" w:hAnsiTheme="majorBidi" w:cstheme="majorBidi"/>
          <w:sz w:val="24"/>
          <w:szCs w:val="24"/>
        </w:rPr>
        <w:t xml:space="preserve"> </w:t>
      </w:r>
      <w:r>
        <w:rPr>
          <w:rFonts w:asciiTheme="majorBidi" w:hAnsiTheme="majorBidi" w:cstheme="majorBidi"/>
          <w:sz w:val="24"/>
          <w:szCs w:val="24"/>
        </w:rPr>
        <w:t>simple myopia,</w:t>
      </w:r>
      <w:r w:rsidRPr="009F45D7">
        <w:rPr>
          <w:rFonts w:asciiTheme="majorBidi" w:hAnsiTheme="majorBidi" w:cstheme="majorBidi"/>
          <w:sz w:val="24"/>
          <w:szCs w:val="24"/>
        </w:rPr>
        <w:t xml:space="preserve"> </w:t>
      </w:r>
      <w:r>
        <w:rPr>
          <w:rFonts w:asciiTheme="majorBidi" w:hAnsiTheme="majorBidi" w:cstheme="majorBidi"/>
          <w:sz w:val="24"/>
          <w:szCs w:val="24"/>
        </w:rPr>
        <w:t>compound myopic astigmatism</w:t>
      </w:r>
      <w:r w:rsidRPr="009F45D7">
        <w:rPr>
          <w:rFonts w:asciiTheme="majorBidi" w:hAnsiTheme="majorBidi" w:cstheme="majorBidi"/>
          <w:sz w:val="24"/>
          <w:szCs w:val="24"/>
        </w:rPr>
        <w:t xml:space="preserve"> </w:t>
      </w:r>
      <w:r>
        <w:rPr>
          <w:rFonts w:asciiTheme="majorBidi" w:hAnsiTheme="majorBidi" w:cstheme="majorBidi"/>
          <w:sz w:val="24"/>
          <w:szCs w:val="24"/>
        </w:rPr>
        <w:t>and</w:t>
      </w:r>
      <w:r w:rsidRPr="009F45D7">
        <w:rPr>
          <w:rFonts w:asciiTheme="majorBidi" w:hAnsiTheme="majorBidi" w:cstheme="majorBidi"/>
          <w:sz w:val="24"/>
          <w:szCs w:val="24"/>
        </w:rPr>
        <w:t xml:space="preserve"> </w:t>
      </w:r>
      <w:r>
        <w:rPr>
          <w:rFonts w:asciiTheme="majorBidi" w:hAnsiTheme="majorBidi" w:cstheme="majorBidi"/>
          <w:sz w:val="24"/>
          <w:szCs w:val="24"/>
        </w:rPr>
        <w:t>simple astigmatism</w:t>
      </w:r>
      <w:r w:rsidRPr="009F45D7">
        <w:rPr>
          <w:rFonts w:asciiTheme="majorBidi" w:hAnsiTheme="majorBidi" w:cstheme="majorBidi"/>
          <w:sz w:val="24"/>
          <w:szCs w:val="24"/>
        </w:rPr>
        <w:t xml:space="preserve"> </w:t>
      </w:r>
      <w:r>
        <w:rPr>
          <w:rFonts w:asciiTheme="majorBidi" w:hAnsiTheme="majorBidi" w:cstheme="majorBidi"/>
          <w:sz w:val="24"/>
          <w:szCs w:val="24"/>
        </w:rPr>
        <w:t xml:space="preserve">groups </w:t>
      </w:r>
      <w:r w:rsidRPr="009F45D7">
        <w:rPr>
          <w:rFonts w:asciiTheme="majorBidi" w:hAnsiTheme="majorBidi" w:cstheme="majorBidi"/>
          <w:sz w:val="24"/>
          <w:szCs w:val="24"/>
        </w:rPr>
        <w:t>showed</w:t>
      </w:r>
      <w:r>
        <w:rPr>
          <w:rFonts w:asciiTheme="majorBidi" w:hAnsiTheme="majorBidi" w:cstheme="majorBidi"/>
          <w:sz w:val="24"/>
          <w:szCs w:val="24"/>
        </w:rPr>
        <w:t xml:space="preserve"> that total ocular HOA-RMS significantly increased across the three groups, being smallest in the simple myopia group </w:t>
      </w:r>
      <w:r w:rsidRPr="00D8045F">
        <w:rPr>
          <w:rFonts w:ascii="Times New Roman" w:hAnsi="Times New Roman" w:cs="Times New Roman"/>
          <w:sz w:val="24"/>
          <w:szCs w:val="24"/>
        </w:rPr>
        <w:t>(</w:t>
      </w:r>
      <w:r>
        <w:rPr>
          <w:rFonts w:ascii="Times New Roman" w:hAnsi="Times New Roman" w:cs="Times New Roman"/>
          <w:sz w:val="24"/>
          <w:szCs w:val="24"/>
        </w:rPr>
        <w:t>|</w:t>
      </w:r>
      <w:r w:rsidRPr="00D8045F">
        <w:rPr>
          <w:rFonts w:ascii="Times New Roman" w:hAnsi="Times New Roman" w:cs="Times New Roman"/>
          <w:sz w:val="24"/>
          <w:szCs w:val="24"/>
        </w:rPr>
        <w:t>0</w:t>
      </w:r>
      <w:r w:rsidRPr="00D8045F">
        <w:rPr>
          <w:rFonts w:ascii="Times New Roman" w:hAnsi="Times New Roman" w:cs="Times New Roman"/>
          <w:color w:val="000000"/>
          <w:sz w:val="24"/>
          <w:szCs w:val="24"/>
        </w:rPr>
        <w:t>.20</w:t>
      </w:r>
      <w:r>
        <w:rPr>
          <w:rFonts w:ascii="Times New Roman" w:hAnsi="Times New Roman" w:cs="Times New Roman"/>
          <w:color w:val="000000"/>
          <w:sz w:val="24"/>
          <w:szCs w:val="24"/>
        </w:rPr>
        <w:t>|</w:t>
      </w:r>
      <w:r w:rsidRPr="00D8045F">
        <w:rPr>
          <w:rFonts w:ascii="Times New Roman" w:hAnsi="Times New Roman" w:cs="Times New Roman"/>
          <w:color w:val="000000"/>
          <w:sz w:val="24"/>
          <w:szCs w:val="24"/>
        </w:rPr>
        <w:t xml:space="preserve"> ± </w:t>
      </w:r>
      <w:r>
        <w:rPr>
          <w:rFonts w:ascii="Times New Roman" w:hAnsi="Times New Roman" w:cs="Times New Roman"/>
          <w:color w:val="000000"/>
          <w:sz w:val="24"/>
          <w:szCs w:val="24"/>
        </w:rPr>
        <w:t>0</w:t>
      </w:r>
      <w:r w:rsidRPr="00D8045F">
        <w:rPr>
          <w:rFonts w:ascii="Times New Roman" w:hAnsi="Times New Roman" w:cs="Times New Roman"/>
          <w:color w:val="000000"/>
          <w:sz w:val="24"/>
          <w:szCs w:val="24"/>
        </w:rPr>
        <w:t xml:space="preserve">.07 µm) </w:t>
      </w:r>
      <w:r>
        <w:rPr>
          <w:rFonts w:asciiTheme="majorBidi" w:hAnsiTheme="majorBidi" w:cstheme="majorBidi"/>
          <w:sz w:val="24"/>
          <w:szCs w:val="24"/>
        </w:rPr>
        <w:t xml:space="preserve">and largest in the simple astigmatism group </w:t>
      </w:r>
      <w:r w:rsidRPr="00D8045F">
        <w:rPr>
          <w:rFonts w:ascii="Times New Roman" w:hAnsi="Times New Roman" w:cs="Times New Roman"/>
          <w:sz w:val="24"/>
          <w:szCs w:val="24"/>
        </w:rPr>
        <w:t>(</w:t>
      </w:r>
      <w:r>
        <w:rPr>
          <w:rFonts w:ascii="Times New Roman" w:hAnsi="Times New Roman" w:cs="Times New Roman"/>
          <w:sz w:val="24"/>
          <w:szCs w:val="24"/>
        </w:rPr>
        <w:t>|</w:t>
      </w:r>
      <w:r w:rsidRPr="00D8045F">
        <w:rPr>
          <w:rFonts w:ascii="Times New Roman" w:hAnsi="Times New Roman" w:cs="Times New Roman"/>
          <w:sz w:val="24"/>
          <w:szCs w:val="24"/>
        </w:rPr>
        <w:t>0</w:t>
      </w:r>
      <w:r w:rsidRPr="00D8045F">
        <w:rPr>
          <w:rFonts w:ascii="Times New Roman" w:hAnsi="Times New Roman" w:cs="Times New Roman"/>
          <w:color w:val="000000"/>
          <w:sz w:val="24"/>
          <w:szCs w:val="24"/>
        </w:rPr>
        <w:t>.2</w:t>
      </w:r>
      <w:r>
        <w:rPr>
          <w:rFonts w:ascii="Times New Roman" w:hAnsi="Times New Roman" w:cs="Times New Roman"/>
          <w:color w:val="000000"/>
          <w:sz w:val="24"/>
          <w:szCs w:val="24"/>
        </w:rPr>
        <w:t>4|</w:t>
      </w:r>
      <w:r w:rsidRPr="00D8045F">
        <w:rPr>
          <w:rFonts w:ascii="Times New Roman" w:hAnsi="Times New Roman" w:cs="Times New Roman"/>
          <w:color w:val="000000"/>
          <w:sz w:val="24"/>
          <w:szCs w:val="24"/>
        </w:rPr>
        <w:t xml:space="preserve"> ± </w:t>
      </w:r>
      <w:r>
        <w:rPr>
          <w:rFonts w:ascii="Times New Roman" w:hAnsi="Times New Roman" w:cs="Times New Roman"/>
          <w:color w:val="000000"/>
          <w:sz w:val="24"/>
          <w:szCs w:val="24"/>
        </w:rPr>
        <w:t>0</w:t>
      </w:r>
      <w:r w:rsidRPr="00D8045F">
        <w:rPr>
          <w:rFonts w:ascii="Times New Roman" w:hAnsi="Times New Roman" w:cs="Times New Roman"/>
          <w:color w:val="000000"/>
          <w:sz w:val="24"/>
          <w:szCs w:val="24"/>
        </w:rPr>
        <w:t>.</w:t>
      </w:r>
      <w:r>
        <w:rPr>
          <w:rFonts w:ascii="Times New Roman" w:hAnsi="Times New Roman" w:cs="Times New Roman"/>
          <w:color w:val="000000"/>
          <w:sz w:val="24"/>
          <w:szCs w:val="24"/>
        </w:rPr>
        <w:t>1</w:t>
      </w:r>
      <w:r w:rsidRPr="00D8045F">
        <w:rPr>
          <w:rFonts w:ascii="Times New Roman" w:hAnsi="Times New Roman" w:cs="Times New Roman"/>
          <w:color w:val="000000"/>
          <w:sz w:val="24"/>
          <w:szCs w:val="24"/>
        </w:rPr>
        <w:t>0 µm)</w:t>
      </w:r>
      <w:r>
        <w:rPr>
          <w:rFonts w:asciiTheme="majorBidi" w:hAnsiTheme="majorBidi" w:cstheme="majorBidi"/>
          <w:sz w:val="24"/>
          <w:szCs w:val="24"/>
        </w:rPr>
        <w:t>.There was a highly significant correlation between the magnitude of vertical coma (R</w:t>
      </w:r>
      <w:r w:rsidRPr="008A252D">
        <w:rPr>
          <w:rFonts w:asciiTheme="majorBidi" w:hAnsiTheme="majorBidi" w:cstheme="majorBidi"/>
          <w:sz w:val="24"/>
          <w:szCs w:val="24"/>
          <w:vertAlign w:val="superscript"/>
        </w:rPr>
        <w:t>2</w:t>
      </w:r>
      <w:r>
        <w:rPr>
          <w:rFonts w:asciiTheme="majorBidi" w:hAnsiTheme="majorBidi" w:cstheme="majorBidi"/>
          <w:sz w:val="24"/>
          <w:szCs w:val="24"/>
        </w:rPr>
        <w:t> = -0,37 p = 0,0001) as well as vertical trefoil (R</w:t>
      </w:r>
      <w:r w:rsidRPr="008A252D">
        <w:rPr>
          <w:rFonts w:asciiTheme="majorBidi" w:hAnsiTheme="majorBidi" w:cstheme="majorBidi"/>
          <w:sz w:val="24"/>
          <w:szCs w:val="24"/>
          <w:vertAlign w:val="superscript"/>
        </w:rPr>
        <w:t>2</w:t>
      </w:r>
      <w:r>
        <w:rPr>
          <w:rFonts w:asciiTheme="majorBidi" w:hAnsiTheme="majorBidi" w:cstheme="majorBidi"/>
          <w:sz w:val="24"/>
          <w:szCs w:val="24"/>
        </w:rPr>
        <w:t> = 0,32 p = 0,002) and the magnitude of ocular astigmatism in the compound myopic astigmatism group. Also, analysis of covariance of the compound myopic astigmatism and simple astigmatism groups as a function of with-the-rule and against-the-rule astigmatism, showed a significantly higher level of oblique trefoil in the against-the-rule group compared with the with-the-rule group (+</w:t>
      </w:r>
      <w:r w:rsidRPr="00D8045F">
        <w:rPr>
          <w:rFonts w:ascii="Times New Roman" w:hAnsi="Times New Roman" w:cs="Times New Roman"/>
          <w:sz w:val="24"/>
          <w:szCs w:val="24"/>
        </w:rPr>
        <w:t>0</w:t>
      </w:r>
      <w:r w:rsidRPr="00D8045F">
        <w:rPr>
          <w:rFonts w:ascii="Times New Roman" w:hAnsi="Times New Roman" w:cs="Times New Roman"/>
          <w:color w:val="000000"/>
          <w:sz w:val="24"/>
          <w:szCs w:val="24"/>
        </w:rPr>
        <w:t>.</w:t>
      </w:r>
      <w:r>
        <w:rPr>
          <w:rFonts w:ascii="Times New Roman" w:hAnsi="Times New Roman" w:cs="Times New Roman"/>
          <w:color w:val="000000"/>
          <w:sz w:val="24"/>
          <w:szCs w:val="24"/>
        </w:rPr>
        <w:t>03 </w:t>
      </w:r>
      <w:r w:rsidRPr="00D8045F">
        <w:rPr>
          <w:rFonts w:ascii="Times New Roman" w:hAnsi="Times New Roman" w:cs="Times New Roman"/>
          <w:color w:val="000000"/>
          <w:sz w:val="24"/>
          <w:szCs w:val="24"/>
        </w:rPr>
        <w:t xml:space="preserve">± </w:t>
      </w:r>
      <w:r>
        <w:rPr>
          <w:rFonts w:ascii="Times New Roman" w:hAnsi="Times New Roman" w:cs="Times New Roman"/>
          <w:color w:val="000000"/>
          <w:sz w:val="24"/>
          <w:szCs w:val="24"/>
        </w:rPr>
        <w:t>0</w:t>
      </w:r>
      <w:r w:rsidRPr="00D8045F">
        <w:rPr>
          <w:rFonts w:ascii="Times New Roman" w:hAnsi="Times New Roman" w:cs="Times New Roman"/>
          <w:color w:val="000000"/>
          <w:sz w:val="24"/>
          <w:szCs w:val="24"/>
        </w:rPr>
        <w:t>.</w:t>
      </w:r>
      <w:r>
        <w:rPr>
          <w:rFonts w:ascii="Times New Roman" w:hAnsi="Times New Roman" w:cs="Times New Roman"/>
          <w:color w:val="000000"/>
          <w:sz w:val="24"/>
          <w:szCs w:val="24"/>
        </w:rPr>
        <w:t>11</w:t>
      </w:r>
      <w:r w:rsidRPr="00D8045F">
        <w:rPr>
          <w:rFonts w:ascii="Times New Roman" w:hAnsi="Times New Roman" w:cs="Times New Roman"/>
          <w:color w:val="000000"/>
          <w:sz w:val="24"/>
          <w:szCs w:val="24"/>
        </w:rPr>
        <w:t xml:space="preserve"> µm</w:t>
      </w:r>
      <w:r>
        <w:rPr>
          <w:rFonts w:asciiTheme="majorBidi" w:hAnsiTheme="majorBidi" w:cstheme="majorBidi"/>
          <w:sz w:val="24"/>
          <w:szCs w:val="24"/>
        </w:rPr>
        <w:t xml:space="preserve"> versus +</w:t>
      </w:r>
      <w:r w:rsidRPr="00D8045F">
        <w:rPr>
          <w:rFonts w:ascii="Times New Roman" w:hAnsi="Times New Roman" w:cs="Times New Roman"/>
          <w:sz w:val="24"/>
          <w:szCs w:val="24"/>
        </w:rPr>
        <w:t>0</w:t>
      </w:r>
      <w:r w:rsidRPr="00D8045F">
        <w:rPr>
          <w:rFonts w:ascii="Times New Roman" w:hAnsi="Times New Roman" w:cs="Times New Roman"/>
          <w:color w:val="000000"/>
          <w:sz w:val="24"/>
          <w:szCs w:val="24"/>
        </w:rPr>
        <w:t>.</w:t>
      </w:r>
      <w:r>
        <w:rPr>
          <w:rFonts w:ascii="Times New Roman" w:hAnsi="Times New Roman" w:cs="Times New Roman"/>
          <w:color w:val="000000"/>
          <w:sz w:val="24"/>
          <w:szCs w:val="24"/>
        </w:rPr>
        <w:t>01 </w:t>
      </w:r>
      <w:r w:rsidRPr="00D8045F">
        <w:rPr>
          <w:rFonts w:ascii="Times New Roman" w:hAnsi="Times New Roman" w:cs="Times New Roman"/>
          <w:color w:val="000000"/>
          <w:sz w:val="24"/>
          <w:szCs w:val="24"/>
        </w:rPr>
        <w:t xml:space="preserve">± </w:t>
      </w:r>
      <w:r>
        <w:rPr>
          <w:rFonts w:ascii="Times New Roman" w:hAnsi="Times New Roman" w:cs="Times New Roman"/>
          <w:color w:val="000000"/>
          <w:sz w:val="24"/>
          <w:szCs w:val="24"/>
        </w:rPr>
        <w:t>0</w:t>
      </w:r>
      <w:r w:rsidRPr="00D8045F">
        <w:rPr>
          <w:rFonts w:ascii="Times New Roman" w:hAnsi="Times New Roman" w:cs="Times New Roman"/>
          <w:color w:val="000000"/>
          <w:sz w:val="24"/>
          <w:szCs w:val="24"/>
        </w:rPr>
        <w:t>.</w:t>
      </w:r>
      <w:r>
        <w:rPr>
          <w:rFonts w:ascii="Times New Roman" w:hAnsi="Times New Roman" w:cs="Times New Roman"/>
          <w:color w:val="000000"/>
          <w:sz w:val="24"/>
          <w:szCs w:val="24"/>
        </w:rPr>
        <w:t>12</w:t>
      </w:r>
      <w:r w:rsidRPr="00D8045F">
        <w:rPr>
          <w:rFonts w:ascii="Times New Roman" w:hAnsi="Times New Roman" w:cs="Times New Roman"/>
          <w:color w:val="000000"/>
          <w:sz w:val="24"/>
          <w:szCs w:val="24"/>
        </w:rPr>
        <w:t xml:space="preserve"> µm</w:t>
      </w:r>
      <w:r>
        <w:rPr>
          <w:rFonts w:ascii="Times New Roman" w:hAnsi="Times New Roman" w:cs="Times New Roman"/>
          <w:color w:val="000000"/>
          <w:sz w:val="24"/>
          <w:szCs w:val="24"/>
        </w:rPr>
        <w:t xml:space="preserve">; </w:t>
      </w:r>
      <w:r w:rsidRPr="007063B4">
        <w:rPr>
          <w:rFonts w:ascii="Times New Roman" w:hAnsi="Times New Roman" w:cs="Times New Roman"/>
          <w:color w:val="000000"/>
          <w:sz w:val="24"/>
          <w:szCs w:val="24"/>
        </w:rPr>
        <w:t>F</w:t>
      </w:r>
      <w:r>
        <w:rPr>
          <w:rFonts w:ascii="Times New Roman" w:hAnsi="Times New Roman" w:cs="Times New Roman"/>
          <w:color w:val="000000"/>
          <w:sz w:val="24"/>
          <w:szCs w:val="24"/>
        </w:rPr>
        <w:t> </w:t>
      </w:r>
      <w:r w:rsidRPr="007063B4">
        <w:rPr>
          <w:rFonts w:ascii="Times New Roman" w:hAnsi="Times New Roman" w:cs="Times New Roman"/>
          <w:color w:val="000000"/>
          <w:sz w:val="24"/>
          <w:szCs w:val="24"/>
        </w:rPr>
        <w:t>=</w:t>
      </w:r>
      <w:r>
        <w:rPr>
          <w:rFonts w:ascii="Times New Roman" w:hAnsi="Times New Roman" w:cs="Times New Roman"/>
          <w:color w:val="000000"/>
          <w:sz w:val="24"/>
          <w:szCs w:val="24"/>
        </w:rPr>
        <w:t> </w:t>
      </w:r>
      <w:r w:rsidRPr="007063B4">
        <w:rPr>
          <w:rFonts w:ascii="Times New Roman" w:hAnsi="Times New Roman" w:cs="Times New Roman"/>
          <w:color w:val="000000"/>
          <w:sz w:val="24"/>
          <w:szCs w:val="24"/>
        </w:rPr>
        <w:t>2.95</w:t>
      </w:r>
      <w:r>
        <w:rPr>
          <w:rFonts w:ascii="Times New Roman" w:hAnsi="Times New Roman" w:cs="Times New Roman"/>
          <w:color w:val="000000"/>
          <w:sz w:val="24"/>
          <w:szCs w:val="24"/>
        </w:rPr>
        <w:t>; p = 0,02</w:t>
      </w:r>
      <w:r>
        <w:rPr>
          <w:rFonts w:asciiTheme="majorBidi" w:hAnsiTheme="majorBidi" w:cstheme="majorBidi"/>
          <w:sz w:val="24"/>
          <w:szCs w:val="24"/>
        </w:rPr>
        <w:t xml:space="preserve">). </w:t>
      </w:r>
    </w:p>
    <w:p w:rsidR="006565A6" w:rsidRDefault="006565A6" w:rsidP="006565A6">
      <w:pPr>
        <w:spacing w:line="360" w:lineRule="auto"/>
        <w:jc w:val="lowKashida"/>
        <w:rPr>
          <w:rFonts w:asciiTheme="majorBidi" w:hAnsiTheme="majorBidi" w:cstheme="majorBidi"/>
          <w:sz w:val="24"/>
          <w:szCs w:val="24"/>
        </w:rPr>
      </w:pPr>
      <w:r w:rsidRPr="00C67A77">
        <w:rPr>
          <w:rFonts w:asciiTheme="majorBidi" w:hAnsiTheme="majorBidi" w:cstheme="majorBidi"/>
          <w:b/>
          <w:sz w:val="24"/>
          <w:szCs w:val="24"/>
        </w:rPr>
        <w:t xml:space="preserve">Conclusion: </w:t>
      </w:r>
      <w:r>
        <w:rPr>
          <w:rFonts w:asciiTheme="majorBidi" w:hAnsiTheme="majorBidi" w:cstheme="majorBidi"/>
          <w:sz w:val="24"/>
          <w:szCs w:val="24"/>
        </w:rPr>
        <w:t xml:space="preserve">Several associations between the magnitude of some HOA and the type and magnitude of refractive error were found in the three types of myopic populations. The implications of this and what role HOA may play in refractive error development are discussed. </w:t>
      </w:r>
    </w:p>
    <w:p w:rsidR="00762FB6" w:rsidRDefault="00762FB6">
      <w:bookmarkStart w:id="0" w:name="_GoBack"/>
      <w:bookmarkEnd w:id="0"/>
    </w:p>
    <w:sectPr w:rsidR="00762F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9EC"/>
    <w:rsid w:val="001E79EC"/>
    <w:rsid w:val="006565A6"/>
    <w:rsid w:val="00762F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C8F424-C276-4824-96DC-4CB556343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5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2022-01-04T18:00:00Z</dcterms:created>
  <dcterms:modified xsi:type="dcterms:W3CDTF">2022-01-04T18:00:00Z</dcterms:modified>
</cp:coreProperties>
</file>