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8AE38" w14:textId="1C24433C" w:rsidR="00995D54" w:rsidRPr="00995D54" w:rsidRDefault="00995D54" w:rsidP="00494130">
      <w:pPr>
        <w:pStyle w:val="Heading1"/>
        <w:spacing w:before="170"/>
        <w:ind w:left="0"/>
        <w:rPr>
          <w:color w:val="337AB7"/>
        </w:rPr>
      </w:pPr>
      <w:r w:rsidRPr="00995D54">
        <w:rPr>
          <w:color w:val="337AB7"/>
        </w:rPr>
        <w:t>What is the infection risk post-intravitreal injections in immune suppressed patients?</w:t>
      </w:r>
    </w:p>
    <w:p w14:paraId="28EB3956" w14:textId="630362A5" w:rsidR="00995D54" w:rsidRPr="00995D54" w:rsidRDefault="00EE62D6" w:rsidP="00995D54">
      <w:pPr>
        <w:pStyle w:val="BodyText"/>
        <w:tabs>
          <w:tab w:val="center" w:pos="2401"/>
          <w:tab w:val="left" w:pos="2765"/>
        </w:tabs>
        <w:spacing w:before="73" w:line="198" w:lineRule="exact"/>
        <w:ind w:left="100" w:right="5987"/>
        <w:rPr>
          <w:rFonts w:ascii="Arial"/>
          <w:vertAlign w:val="superscript"/>
        </w:rPr>
      </w:pPr>
      <w:r>
        <w:rPr>
          <w:rFonts w:ascii="Arial"/>
        </w:rPr>
        <w:t>Yazan Fakhour</w:t>
      </w:r>
      <w:r w:rsidR="00B30E15">
        <w:rPr>
          <w:rFonts w:ascii="Arial"/>
        </w:rPr>
        <w:t>y</w:t>
      </w:r>
      <w:r w:rsidR="00B30E15" w:rsidRPr="00B30E15">
        <w:rPr>
          <w:rFonts w:ascii="Arial"/>
          <w:vertAlign w:val="superscript"/>
        </w:rPr>
        <w:t>1</w:t>
      </w:r>
      <w:r w:rsidR="00B30E15">
        <w:rPr>
          <w:rFonts w:ascii="Arial"/>
        </w:rPr>
        <w:t>, Samer Elsherbiny</w:t>
      </w:r>
      <w:r w:rsidR="00B30E15" w:rsidRPr="00B30E15">
        <w:rPr>
          <w:rFonts w:ascii="Arial"/>
          <w:vertAlign w:val="superscript"/>
        </w:rPr>
        <w:t>2,3</w:t>
      </w:r>
    </w:p>
    <w:p w14:paraId="53513756" w14:textId="77777777" w:rsidR="00995D54" w:rsidRDefault="00995D54" w:rsidP="00995D54">
      <w:pPr>
        <w:pStyle w:val="NormalWeb"/>
        <w:spacing w:before="0" w:beforeAutospacing="0" w:after="0" w:afterAutospacing="0"/>
        <w:rPr>
          <w:rFonts w:ascii="Arial" w:eastAsia="Tw Cen MT" w:hAnsi="Tw Cen MT" w:cs="Tw Cen MT"/>
          <w:sz w:val="18"/>
          <w:szCs w:val="18"/>
          <w:lang w:val="en-US" w:eastAsia="en-US"/>
        </w:rPr>
      </w:pPr>
    </w:p>
    <w:p w14:paraId="6ECEB373" w14:textId="003EF73A" w:rsidR="00B30E15" w:rsidRPr="00B30E15" w:rsidRDefault="00B30E15" w:rsidP="00995D54">
      <w:pPr>
        <w:pStyle w:val="NormalWeb"/>
        <w:spacing w:before="0" w:beforeAutospacing="0" w:after="0" w:afterAutospacing="0"/>
        <w:rPr>
          <w:rFonts w:ascii="Arial" w:eastAsia="Tw Cen MT" w:hAnsi="Tw Cen MT" w:cs="Tw Cen MT"/>
          <w:sz w:val="18"/>
          <w:szCs w:val="18"/>
          <w:lang w:val="en-US" w:eastAsia="en-US"/>
        </w:rPr>
      </w:pPr>
      <w:r>
        <w:rPr>
          <w:rFonts w:ascii="Arial" w:eastAsia="Tw Cen MT" w:hAnsi="Tw Cen MT" w:cs="Tw Cen MT"/>
          <w:sz w:val="18"/>
          <w:szCs w:val="18"/>
          <w:lang w:val="en-US" w:eastAsia="en-US"/>
        </w:rPr>
        <w:t>1.</w:t>
      </w:r>
      <w:r w:rsidRPr="00B30E15">
        <w:rPr>
          <w:rFonts w:ascii="Arial" w:eastAsia="Tw Cen MT" w:hAnsi="Tw Cen MT" w:cs="Tw Cen MT"/>
          <w:sz w:val="18"/>
          <w:szCs w:val="18"/>
          <w:lang w:val="en-US" w:eastAsia="en-US"/>
        </w:rPr>
        <w:t xml:space="preserve"> Leeds University Teaching Hospitals NHS Trust, Leeds, UK; (</w:t>
      </w:r>
      <w:r w:rsidR="00AD2980">
        <w:rPr>
          <w:rFonts w:ascii="Arial" w:eastAsia="Tw Cen MT" w:hAnsi="Tw Cen MT" w:cs="Tw Cen MT"/>
          <w:sz w:val="18"/>
          <w:szCs w:val="18"/>
          <w:lang w:val="en-US" w:eastAsia="en-US"/>
        </w:rPr>
        <w:t>GP</w:t>
      </w:r>
      <w:r w:rsidR="00BF3E15">
        <w:rPr>
          <w:rFonts w:ascii="Arial" w:eastAsia="Tw Cen MT" w:hAnsi="Tw Cen MT" w:cs="Tw Cen MT"/>
          <w:sz w:val="18"/>
          <w:szCs w:val="18"/>
          <w:lang w:val="en-US" w:eastAsia="en-US"/>
        </w:rPr>
        <w:t xml:space="preserve"> Doctor Trainee</w:t>
      </w:r>
      <w:r w:rsidRPr="00B30E15">
        <w:rPr>
          <w:rFonts w:ascii="Arial" w:eastAsia="Tw Cen MT" w:hAnsi="Tw Cen MT" w:cs="Tw Cen MT"/>
          <w:sz w:val="18"/>
          <w:szCs w:val="18"/>
          <w:lang w:val="en-US" w:eastAsia="en-US"/>
        </w:rPr>
        <w:t xml:space="preserve">) </w:t>
      </w:r>
    </w:p>
    <w:p w14:paraId="19B2C9FB" w14:textId="25DDB530" w:rsidR="00B30E15" w:rsidRDefault="00B30E15" w:rsidP="009D4F88">
      <w:pPr>
        <w:widowControl/>
        <w:rPr>
          <w:rFonts w:ascii="Arial"/>
          <w:sz w:val="18"/>
          <w:szCs w:val="18"/>
        </w:rPr>
      </w:pPr>
      <w:r w:rsidRPr="00B30E15">
        <w:rPr>
          <w:rFonts w:ascii="Arial"/>
          <w:sz w:val="18"/>
          <w:szCs w:val="18"/>
        </w:rPr>
        <w:t>2.</w:t>
      </w:r>
      <w:r w:rsidR="00390020">
        <w:rPr>
          <w:rFonts w:ascii="Arial"/>
          <w:sz w:val="18"/>
          <w:szCs w:val="18"/>
        </w:rPr>
        <w:t xml:space="preserve"> </w:t>
      </w:r>
      <w:r w:rsidRPr="00B30E15">
        <w:rPr>
          <w:rFonts w:ascii="Arial"/>
          <w:sz w:val="18"/>
          <w:szCs w:val="18"/>
        </w:rPr>
        <w:t>Machen Eye Unit, Warwick Hospital, South Warwickshire NHS Foundation Trust, Warwick, UK; (Consultant Ophthalmic Surgeon).</w:t>
      </w:r>
      <w:r w:rsidRPr="00B30E15">
        <w:rPr>
          <w:rFonts w:ascii="Arial"/>
          <w:sz w:val="18"/>
          <w:szCs w:val="18"/>
        </w:rPr>
        <w:br/>
        <w:t>3.</w:t>
      </w:r>
      <w:r w:rsidR="00390020">
        <w:rPr>
          <w:rFonts w:ascii="Arial"/>
          <w:sz w:val="18"/>
          <w:szCs w:val="18"/>
        </w:rPr>
        <w:t xml:space="preserve"> </w:t>
      </w:r>
      <w:r w:rsidRPr="00B30E15">
        <w:rPr>
          <w:rFonts w:ascii="Arial"/>
          <w:sz w:val="18"/>
          <w:szCs w:val="18"/>
        </w:rPr>
        <w:t xml:space="preserve">Warwick Medical School, University of Warwick, Coventry, UK; (Associate Clinical Professor) </w:t>
      </w:r>
    </w:p>
    <w:p w14:paraId="457CB7E5" w14:textId="77777777" w:rsidR="009D4F88" w:rsidRPr="009D4F88" w:rsidRDefault="009D4F88" w:rsidP="009D4F88">
      <w:pPr>
        <w:widowControl/>
        <w:rPr>
          <w:rFonts w:ascii="Arial"/>
          <w:sz w:val="18"/>
          <w:szCs w:val="18"/>
        </w:rPr>
      </w:pPr>
    </w:p>
    <w:p w14:paraId="59851AA1" w14:textId="77777777" w:rsidR="009D4F88" w:rsidRDefault="009D4F88" w:rsidP="00995D54">
      <w:pPr>
        <w:rPr>
          <w:rFonts w:ascii="Arial"/>
          <w:sz w:val="21"/>
        </w:rPr>
      </w:pPr>
    </w:p>
    <w:p w14:paraId="40C0C557" w14:textId="7BCF4488" w:rsidR="009D4F88" w:rsidRDefault="009D4F88" w:rsidP="00995D54">
      <w:pPr>
        <w:rPr>
          <w:rFonts w:ascii="Arial"/>
          <w:sz w:val="21"/>
        </w:rPr>
        <w:sectPr w:rsidR="009D4F88" w:rsidSect="008E5477">
          <w:footerReference w:type="default" r:id="rId7"/>
          <w:type w:val="continuous"/>
          <w:pgSz w:w="11910" w:h="16840"/>
          <w:pgMar w:top="995" w:right="600" w:bottom="840" w:left="620" w:header="0" w:footer="0" w:gutter="0"/>
          <w:cols w:space="720"/>
          <w:docGrid w:linePitch="299"/>
        </w:sectPr>
      </w:pPr>
    </w:p>
    <w:p w14:paraId="3E5F79D7" w14:textId="3D67E4A0" w:rsidR="00AE3E37" w:rsidRDefault="00A9710C" w:rsidP="009D4F88">
      <w:pPr>
        <w:pStyle w:val="Heading3"/>
        <w:spacing w:before="147"/>
        <w:ind w:left="0"/>
        <w:jc w:val="both"/>
        <w:rPr>
          <w:color w:val="BF5A14"/>
        </w:rPr>
      </w:pPr>
      <w:r>
        <w:rPr>
          <w:color w:val="BF5A14"/>
        </w:rPr>
        <w:t>Abstract</w:t>
      </w:r>
      <w:r w:rsidR="00404E5B">
        <w:rPr>
          <w:color w:val="BF5A14"/>
        </w:rPr>
        <w:t xml:space="preserve"> </w:t>
      </w:r>
    </w:p>
    <w:p w14:paraId="605E24E4" w14:textId="77777777" w:rsidR="009D4F88" w:rsidRPr="009D4F88" w:rsidRDefault="009D4F88" w:rsidP="009D4F88">
      <w:pPr>
        <w:spacing w:line="276" w:lineRule="auto"/>
        <w:jc w:val="both"/>
        <w:rPr>
          <w:rFonts w:cs="Arial"/>
          <w:b/>
          <w:bCs/>
          <w:sz w:val="18"/>
          <w:szCs w:val="18"/>
        </w:rPr>
      </w:pPr>
      <w:r w:rsidRPr="009D4F88">
        <w:rPr>
          <w:rFonts w:cs="Arial"/>
          <w:b/>
          <w:bCs/>
          <w:sz w:val="18"/>
          <w:szCs w:val="18"/>
        </w:rPr>
        <w:t>Background</w:t>
      </w:r>
    </w:p>
    <w:p w14:paraId="16BA19B8" w14:textId="1A8D5D00" w:rsidR="009D4F88" w:rsidRPr="009D4F88" w:rsidRDefault="009D4F88" w:rsidP="009D4F88">
      <w:pPr>
        <w:spacing w:line="276" w:lineRule="auto"/>
        <w:jc w:val="both"/>
        <w:rPr>
          <w:rFonts w:eastAsiaTheme="minorHAnsi" w:cs="Arial"/>
          <w:sz w:val="18"/>
          <w:szCs w:val="18"/>
        </w:rPr>
      </w:pPr>
      <w:r w:rsidRPr="009D4F88">
        <w:rPr>
          <w:rFonts w:cs="Arial"/>
          <w:sz w:val="18"/>
          <w:szCs w:val="18"/>
        </w:rPr>
        <w:t>Infectious endophthalmitis is a sight-threatening complication occurring in 0.025% of patients following intravitreal injection (IVI) secondary to microbial infection. 0.015% of cases are culture-positive cases, suggesting sterile endophthalmitis is less common in IVI procedures (2). Although some evidence broadly suggests an increased rate of infection in immune suppression, particularly patients with malignancy, older age, rheumatological conditions and immunosuppressive therapy</w:t>
      </w:r>
      <w:r w:rsidR="000C4A31">
        <w:rPr>
          <w:rFonts w:cs="Arial"/>
          <w:sz w:val="18"/>
          <w:szCs w:val="18"/>
        </w:rPr>
        <w:t xml:space="preserve">, </w:t>
      </w:r>
      <w:r w:rsidRPr="009D4F88">
        <w:rPr>
          <w:rFonts w:cs="Arial"/>
          <w:sz w:val="18"/>
          <w:szCs w:val="18"/>
        </w:rPr>
        <w:t xml:space="preserve">some studies have reported otherwise. Current guidance states no difference in the approach to IVI for immune </w:t>
      </w:r>
      <w:r w:rsidR="000C4A31" w:rsidRPr="009D4F88">
        <w:rPr>
          <w:rFonts w:cs="Arial"/>
          <w:sz w:val="18"/>
          <w:szCs w:val="18"/>
        </w:rPr>
        <w:t>suppressed</w:t>
      </w:r>
      <w:r w:rsidRPr="009D4F88">
        <w:rPr>
          <w:rFonts w:cs="Arial"/>
          <w:sz w:val="18"/>
          <w:szCs w:val="18"/>
        </w:rPr>
        <w:t xml:space="preserve"> groups. Due to low overall risk of endophthalmitis from anti-VEGF IVI  and lack of large-scale studies investigating association between infection rate and immune suppression, analysis of local data and comparison with </w:t>
      </w:r>
      <w:r w:rsidRPr="009D4F88">
        <w:rPr>
          <w:rFonts w:eastAsiaTheme="minorHAnsi" w:cs="Arial"/>
          <w:sz w:val="18"/>
          <w:szCs w:val="18"/>
        </w:rPr>
        <w:t>published research is therefore warranted to answer this question.</w:t>
      </w:r>
    </w:p>
    <w:p w14:paraId="7C7967FB" w14:textId="77777777" w:rsidR="009D4F88" w:rsidRPr="009D4F88" w:rsidRDefault="009D4F88" w:rsidP="009D4F88">
      <w:pPr>
        <w:spacing w:line="276" w:lineRule="auto"/>
        <w:jc w:val="both"/>
        <w:rPr>
          <w:rFonts w:eastAsiaTheme="minorHAnsi" w:cs="Arial"/>
          <w:sz w:val="18"/>
          <w:szCs w:val="18"/>
        </w:rPr>
      </w:pPr>
    </w:p>
    <w:p w14:paraId="5896F49B" w14:textId="77777777" w:rsidR="009D4F88" w:rsidRPr="009D4F88" w:rsidRDefault="009D4F88" w:rsidP="009D4F88">
      <w:pPr>
        <w:spacing w:line="276" w:lineRule="auto"/>
        <w:jc w:val="both"/>
        <w:rPr>
          <w:rFonts w:eastAsiaTheme="minorHAnsi" w:cs="Arial"/>
          <w:b/>
          <w:bCs/>
          <w:sz w:val="18"/>
          <w:szCs w:val="18"/>
        </w:rPr>
      </w:pPr>
      <w:r w:rsidRPr="009D4F88">
        <w:rPr>
          <w:rFonts w:eastAsiaTheme="minorHAnsi" w:cs="Arial"/>
          <w:b/>
          <w:bCs/>
          <w:sz w:val="18"/>
          <w:szCs w:val="18"/>
        </w:rPr>
        <w:t>Purpose</w:t>
      </w:r>
    </w:p>
    <w:p w14:paraId="3232B1DB" w14:textId="77777777" w:rsidR="009D4F88" w:rsidRPr="009D4F88" w:rsidRDefault="009D4F88" w:rsidP="009D4F88">
      <w:pPr>
        <w:spacing w:line="276" w:lineRule="auto"/>
        <w:jc w:val="both"/>
        <w:rPr>
          <w:rFonts w:eastAsiaTheme="minorHAnsi" w:cs="Arial"/>
          <w:sz w:val="18"/>
          <w:szCs w:val="18"/>
        </w:rPr>
      </w:pPr>
      <w:r w:rsidRPr="009D4F88">
        <w:rPr>
          <w:rFonts w:eastAsiaTheme="minorHAnsi" w:cs="Arial"/>
          <w:sz w:val="18"/>
          <w:szCs w:val="18"/>
        </w:rPr>
        <w:t xml:space="preserve">To understand how immune suppression can predispose to development of infection after IVI compared with non-immune suppressed patients. </w:t>
      </w:r>
    </w:p>
    <w:p w14:paraId="5DDDE657" w14:textId="77777777" w:rsidR="009D4F88" w:rsidRPr="009D4F88" w:rsidRDefault="009D4F88" w:rsidP="009D4F88">
      <w:pPr>
        <w:spacing w:line="276" w:lineRule="auto"/>
        <w:jc w:val="both"/>
        <w:rPr>
          <w:rFonts w:cs="Arial"/>
          <w:sz w:val="18"/>
          <w:szCs w:val="18"/>
        </w:rPr>
      </w:pPr>
    </w:p>
    <w:p w14:paraId="24DA71E5" w14:textId="77777777" w:rsidR="009D4F88" w:rsidRPr="009D4F88" w:rsidRDefault="009D4F88" w:rsidP="009D4F88">
      <w:pPr>
        <w:spacing w:line="276" w:lineRule="auto"/>
        <w:jc w:val="both"/>
        <w:rPr>
          <w:rFonts w:cs="Arial"/>
          <w:b/>
          <w:bCs/>
          <w:sz w:val="18"/>
          <w:szCs w:val="18"/>
        </w:rPr>
      </w:pPr>
      <w:r w:rsidRPr="009D4F88">
        <w:rPr>
          <w:rFonts w:cs="Arial"/>
          <w:b/>
          <w:bCs/>
          <w:sz w:val="18"/>
          <w:szCs w:val="18"/>
        </w:rPr>
        <w:t>Methods</w:t>
      </w:r>
    </w:p>
    <w:p w14:paraId="0720EDF4" w14:textId="1218A4E0" w:rsidR="009D4F88" w:rsidRDefault="009D4F88" w:rsidP="009D4F88">
      <w:pPr>
        <w:spacing w:line="276" w:lineRule="auto"/>
        <w:jc w:val="both"/>
        <w:rPr>
          <w:rFonts w:cs="Arial"/>
          <w:b/>
          <w:bCs/>
          <w:sz w:val="18"/>
          <w:szCs w:val="18"/>
        </w:rPr>
      </w:pPr>
      <w:r w:rsidRPr="009D4F88">
        <w:rPr>
          <w:rFonts w:eastAsiaTheme="minorHAnsi" w:cs="Arial"/>
          <w:sz w:val="18"/>
          <w:szCs w:val="18"/>
        </w:rPr>
        <w:t>All patients who were undergoing IVIs between September 2012 to April 2021 and were immune suppressed (due to clinical condition and/or treatment) were included. Patient notes from the Medisoft electronic database were identified and reviewed for information pertaining to underlying condition; treatment status during study period; indication for IVI; duration and frequency of injections and incidence of intra-</w:t>
      </w:r>
      <w:proofErr w:type="spellStart"/>
      <w:r w:rsidRPr="009D4F88">
        <w:rPr>
          <w:rFonts w:eastAsiaTheme="minorHAnsi" w:cs="Arial"/>
          <w:sz w:val="18"/>
          <w:szCs w:val="18"/>
        </w:rPr>
        <w:t>vitreal</w:t>
      </w:r>
      <w:proofErr w:type="spellEnd"/>
      <w:r w:rsidRPr="009D4F88">
        <w:rPr>
          <w:rFonts w:eastAsiaTheme="minorHAnsi" w:cs="Arial"/>
          <w:sz w:val="18"/>
          <w:szCs w:val="18"/>
        </w:rPr>
        <w:t xml:space="preserve"> infection during the study period. All IVIs were performed in a designated injection room following minimum infection control measures as per the Royal College of Ophthalmologists guidance. Clinical assessment and imaging between IVI treatment cycles informed follow-up. </w:t>
      </w:r>
    </w:p>
    <w:p w14:paraId="5679E810" w14:textId="77777777" w:rsidR="009D4F88" w:rsidRPr="009D4F88" w:rsidRDefault="009D4F88" w:rsidP="009D4F88">
      <w:pPr>
        <w:spacing w:line="276" w:lineRule="auto"/>
        <w:jc w:val="both"/>
        <w:rPr>
          <w:rFonts w:cs="Arial"/>
          <w:b/>
          <w:bCs/>
          <w:sz w:val="18"/>
          <w:szCs w:val="18"/>
        </w:rPr>
      </w:pPr>
    </w:p>
    <w:p w14:paraId="23D2641F" w14:textId="77777777" w:rsidR="009D4F88" w:rsidRPr="009D4F88" w:rsidRDefault="009D4F88" w:rsidP="009D4F88">
      <w:pPr>
        <w:spacing w:line="276" w:lineRule="auto"/>
        <w:jc w:val="both"/>
        <w:rPr>
          <w:rFonts w:cs="Arial"/>
          <w:b/>
          <w:bCs/>
          <w:sz w:val="18"/>
          <w:szCs w:val="18"/>
        </w:rPr>
      </w:pPr>
      <w:r w:rsidRPr="009D4F88">
        <w:rPr>
          <w:rFonts w:cs="Arial"/>
          <w:b/>
          <w:bCs/>
          <w:sz w:val="18"/>
          <w:szCs w:val="18"/>
        </w:rPr>
        <w:t>Results</w:t>
      </w:r>
    </w:p>
    <w:p w14:paraId="5957B6ED" w14:textId="77777777" w:rsidR="009D4F88" w:rsidRPr="009D4F88" w:rsidRDefault="009D4F88" w:rsidP="009D4F88">
      <w:pPr>
        <w:spacing w:line="276" w:lineRule="auto"/>
        <w:jc w:val="both"/>
        <w:rPr>
          <w:rFonts w:cs="Arial"/>
          <w:color w:val="000000"/>
          <w:sz w:val="18"/>
          <w:szCs w:val="18"/>
        </w:rPr>
      </w:pPr>
      <w:r w:rsidRPr="009D4F88">
        <w:rPr>
          <w:rFonts w:cs="Arial"/>
          <w:color w:val="000000"/>
          <w:sz w:val="18"/>
          <w:szCs w:val="18"/>
        </w:rPr>
        <w:t xml:space="preserve">A total of 23 IVIs were performed on 19 patients (42% male; 58% female). Mean age 79 years (range, 59-92 years). Underlying malignancy (n=18) or renal transplant (n=1) caused immune suppression with 79% (n=15) of patients on active treatment for these conditions at the time of IVI. Myeloma (16%), </w:t>
      </w:r>
      <w:proofErr w:type="spellStart"/>
      <w:r w:rsidRPr="009D4F88">
        <w:rPr>
          <w:rFonts w:cs="Arial"/>
          <w:color w:val="000000"/>
          <w:sz w:val="18"/>
          <w:szCs w:val="18"/>
        </w:rPr>
        <w:t>leukaemia</w:t>
      </w:r>
      <w:proofErr w:type="spellEnd"/>
      <w:r w:rsidRPr="009D4F88">
        <w:rPr>
          <w:rFonts w:cs="Arial"/>
          <w:color w:val="000000"/>
          <w:sz w:val="18"/>
          <w:szCs w:val="18"/>
        </w:rPr>
        <w:t xml:space="preserve"> (21%) and metastatic breast cancer (16%) were the most frequently occurring conditions. There were no reported instances of post-injection sterile inflammation or infection despite use of standard antisepsis protocol. </w:t>
      </w:r>
      <w:r w:rsidRPr="009D4F88">
        <w:rPr>
          <w:rFonts w:cs="Arial"/>
          <w:sz w:val="18"/>
          <w:szCs w:val="18"/>
        </w:rPr>
        <w:t>Average treatment duration was 43 months (range, 7-102 months) and 25 injections (range, 8-26 injections) were given on average in that period.</w:t>
      </w:r>
    </w:p>
    <w:p w14:paraId="5D9DF766" w14:textId="77777777" w:rsidR="009D4F88" w:rsidRPr="009D4F88" w:rsidRDefault="009D4F88" w:rsidP="009D4F88">
      <w:pPr>
        <w:spacing w:line="276" w:lineRule="auto"/>
        <w:jc w:val="both"/>
        <w:rPr>
          <w:rFonts w:cs="Arial"/>
          <w:sz w:val="18"/>
          <w:szCs w:val="18"/>
        </w:rPr>
      </w:pPr>
    </w:p>
    <w:p w14:paraId="1028DEDF" w14:textId="77777777" w:rsidR="009D4F88" w:rsidRPr="009D4F88" w:rsidRDefault="009D4F88" w:rsidP="009D4F88">
      <w:pPr>
        <w:spacing w:line="276" w:lineRule="auto"/>
        <w:jc w:val="both"/>
        <w:rPr>
          <w:rFonts w:cs="Arial"/>
          <w:b/>
          <w:bCs/>
          <w:sz w:val="18"/>
          <w:szCs w:val="18"/>
        </w:rPr>
      </w:pPr>
      <w:r w:rsidRPr="009D4F88">
        <w:rPr>
          <w:rFonts w:cs="Arial"/>
          <w:b/>
          <w:bCs/>
          <w:sz w:val="18"/>
          <w:szCs w:val="18"/>
        </w:rPr>
        <w:t>Discussion</w:t>
      </w:r>
    </w:p>
    <w:p w14:paraId="0AC1C6F4" w14:textId="67EA857C" w:rsidR="00BF3E15" w:rsidRPr="000C4A31" w:rsidRDefault="009D4F88" w:rsidP="000C4A31">
      <w:pPr>
        <w:spacing w:line="276" w:lineRule="auto"/>
        <w:jc w:val="both"/>
        <w:rPr>
          <w:rFonts w:eastAsiaTheme="minorHAnsi" w:cs="Arial"/>
          <w:sz w:val="18"/>
          <w:szCs w:val="18"/>
        </w:rPr>
      </w:pPr>
      <w:r w:rsidRPr="009D4F88">
        <w:rPr>
          <w:rFonts w:eastAsiaTheme="minorHAnsi" w:cs="Arial"/>
          <w:sz w:val="18"/>
          <w:szCs w:val="18"/>
        </w:rPr>
        <w:t xml:space="preserve">Previous studies have been unable to demonstrate a clear association </w:t>
      </w:r>
      <w:r w:rsidRPr="009D4F88">
        <w:rPr>
          <w:rFonts w:eastAsiaTheme="minorHAnsi" w:cs="Arial"/>
          <w:sz w:val="18"/>
          <w:szCs w:val="18"/>
        </w:rPr>
        <w:t xml:space="preserve">between infection risk in immune suppression. </w:t>
      </w:r>
      <w:r w:rsidRPr="009D4F88">
        <w:rPr>
          <w:rFonts w:cs="Arial"/>
          <w:sz w:val="18"/>
          <w:szCs w:val="18"/>
        </w:rPr>
        <w:t xml:space="preserve">Based on this retrospective, observational study conducted in a single </w:t>
      </w:r>
      <w:proofErr w:type="spellStart"/>
      <w:r w:rsidRPr="009D4F88">
        <w:rPr>
          <w:rFonts w:cs="Arial"/>
          <w:sz w:val="18"/>
          <w:szCs w:val="18"/>
        </w:rPr>
        <w:t>centre</w:t>
      </w:r>
      <w:proofErr w:type="spellEnd"/>
      <w:r w:rsidRPr="009D4F88">
        <w:rPr>
          <w:rFonts w:cs="Arial"/>
          <w:sz w:val="18"/>
          <w:szCs w:val="18"/>
        </w:rPr>
        <w:t xml:space="preserve">, there appears to be no increased incidence of infection compared with non-immune suppressed patients. Longevity and </w:t>
      </w:r>
      <w:r w:rsidRPr="009D4F88">
        <w:rPr>
          <w:rFonts w:eastAsiaTheme="minorHAnsi" w:cs="Arial"/>
          <w:sz w:val="18"/>
          <w:szCs w:val="18"/>
        </w:rPr>
        <w:t>rising cancer incidence in the general population</w:t>
      </w:r>
      <w:r w:rsidR="000C4A31">
        <w:rPr>
          <w:rFonts w:eastAsiaTheme="minorHAnsi" w:cs="Arial"/>
          <w:sz w:val="18"/>
          <w:szCs w:val="18"/>
        </w:rPr>
        <w:t xml:space="preserve"> </w:t>
      </w:r>
      <w:r w:rsidRPr="009D4F88">
        <w:rPr>
          <w:rFonts w:eastAsiaTheme="minorHAnsi" w:cs="Arial"/>
          <w:sz w:val="18"/>
          <w:szCs w:val="18"/>
        </w:rPr>
        <w:t>has prompted the importance of addressing immune suppression and establishing the infection risk for future cohorts undergoing IVI therapy. Current guidelines adequately manage infection risk, regardless of patient immune status, but would require a larger, prospective, comparative study.</w:t>
      </w:r>
    </w:p>
    <w:p w14:paraId="6E5D04D4" w14:textId="77777777" w:rsidR="009D4F88" w:rsidRDefault="009D4F88" w:rsidP="00BF3E15">
      <w:pPr>
        <w:pStyle w:val="Heading3"/>
        <w:spacing w:before="147"/>
        <w:ind w:left="0"/>
        <w:jc w:val="both"/>
        <w:rPr>
          <w:rFonts w:eastAsia="Tw Cen MT" w:hAnsi="Tw Cen MT" w:cs="Tw Cen MT"/>
          <w:bCs w:val="0"/>
          <w:color w:val="BF5A14"/>
          <w:szCs w:val="22"/>
        </w:rPr>
      </w:pPr>
    </w:p>
    <w:p w14:paraId="3B95C278" w14:textId="2B0FD970" w:rsidR="00AE3E37" w:rsidRPr="000C4A31" w:rsidRDefault="005973B9" w:rsidP="000C4A31">
      <w:pPr>
        <w:rPr>
          <w:rFonts w:ascii="Arial"/>
          <w:b/>
          <w:color w:val="BF5A14"/>
          <w:sz w:val="20"/>
        </w:rPr>
      </w:pPr>
      <w:r>
        <w:rPr>
          <w:rFonts w:ascii="Arial"/>
          <w:b/>
          <w:color w:val="BF5A14"/>
          <w:sz w:val="20"/>
        </w:rPr>
        <w:t>Recent Publications (</w:t>
      </w:r>
      <w:r w:rsidR="00390020">
        <w:rPr>
          <w:rFonts w:ascii="Arial"/>
          <w:b/>
          <w:color w:val="BF5A14"/>
          <w:sz w:val="20"/>
        </w:rPr>
        <w:t xml:space="preserve">Samer </w:t>
      </w:r>
      <w:r w:rsidR="00390020" w:rsidRPr="00390020">
        <w:rPr>
          <w:rFonts w:ascii="Arial"/>
          <w:b/>
          <w:color w:val="BF5A14"/>
          <w:sz w:val="20"/>
        </w:rPr>
        <w:t>Elsherbiny</w:t>
      </w:r>
      <w:r w:rsidR="00390020">
        <w:rPr>
          <w:rFonts w:ascii="Arial"/>
          <w:b/>
          <w:color w:val="BF5A14"/>
          <w:sz w:val="20"/>
        </w:rPr>
        <w:t>)</w:t>
      </w:r>
    </w:p>
    <w:p w14:paraId="731B7429" w14:textId="78DD7F73" w:rsidR="00BF3E15" w:rsidRPr="00BF3E15" w:rsidRDefault="00BF3E15" w:rsidP="00BF3E15">
      <w:pPr>
        <w:pStyle w:val="ListParagraph"/>
        <w:widowControl/>
        <w:numPr>
          <w:ilvl w:val="0"/>
          <w:numId w:val="8"/>
        </w:numPr>
        <w:jc w:val="left"/>
      </w:pPr>
      <w:r w:rsidRPr="00BF3E15">
        <w:t>Mukherjee C, Al-Fahad Q, Elsherbiny S. The role of optical coherence tomography in therapeutics and conditions, which primarily have systemic manifestations: a narrative review. Therapeutic Advances in Ophthalmology.</w:t>
      </w:r>
      <w:r>
        <w:t xml:space="preserve"> </w:t>
      </w:r>
      <w:r w:rsidRPr="00BF3E15">
        <w:t>2019;11:251584141983115.</w:t>
      </w:r>
    </w:p>
    <w:p w14:paraId="3C085480" w14:textId="7BE7201E" w:rsidR="00BF3E15" w:rsidRPr="00BF3E15" w:rsidRDefault="00BF3E15" w:rsidP="00BF3E15">
      <w:pPr>
        <w:pStyle w:val="ListParagraph"/>
        <w:widowControl/>
        <w:numPr>
          <w:ilvl w:val="0"/>
          <w:numId w:val="8"/>
        </w:numPr>
        <w:jc w:val="left"/>
      </w:pPr>
      <w:r w:rsidRPr="00BF3E15">
        <w:t>Gale R, Mahmood S, Devonport H, Patel P, Ross A, Walters G et al. Action on neovascular age-related macular degeneration (</w:t>
      </w:r>
      <w:proofErr w:type="spellStart"/>
      <w:r w:rsidRPr="00BF3E15">
        <w:t>nAMD</w:t>
      </w:r>
      <w:proofErr w:type="spellEnd"/>
      <w:r w:rsidRPr="00BF3E15">
        <w:t>): recommendations for management and service provision in the UK hospital eye service. Eye. 2019;33(S1):1-21.</w:t>
      </w:r>
    </w:p>
    <w:p w14:paraId="6C45DCD8" w14:textId="1AB6D7D6" w:rsidR="00BF3E15" w:rsidRPr="00BF3E15" w:rsidRDefault="00BF3E15" w:rsidP="00BF3E15">
      <w:pPr>
        <w:pStyle w:val="ListParagraph"/>
        <w:widowControl/>
        <w:numPr>
          <w:ilvl w:val="0"/>
          <w:numId w:val="8"/>
        </w:numPr>
        <w:jc w:val="left"/>
      </w:pPr>
      <w:proofErr w:type="spellStart"/>
      <w:r w:rsidRPr="00BF3E15">
        <w:t>Andreatta</w:t>
      </w:r>
      <w:proofErr w:type="spellEnd"/>
      <w:r w:rsidRPr="00BF3E15">
        <w:t xml:space="preserve"> W, El-</w:t>
      </w:r>
      <w:proofErr w:type="spellStart"/>
      <w:r w:rsidRPr="00BF3E15">
        <w:t>Sherbiny</w:t>
      </w:r>
      <w:proofErr w:type="spellEnd"/>
      <w:r w:rsidRPr="00BF3E15">
        <w:t xml:space="preserve"> S. Evidence-Based Nutritional Advice for Patients Affected by Age-Related Macular Degeneration. </w:t>
      </w:r>
      <w:proofErr w:type="spellStart"/>
      <w:r w:rsidRPr="00BF3E15">
        <w:t>Ophthalmologica</w:t>
      </w:r>
      <w:proofErr w:type="spellEnd"/>
      <w:r w:rsidRPr="00BF3E15">
        <w:t>. 2014;231(4):185-190.</w:t>
      </w:r>
    </w:p>
    <w:p w14:paraId="0FBB7808" w14:textId="076F7DC1" w:rsidR="00BF3E15" w:rsidRPr="00BF3E15" w:rsidRDefault="00BF3E15" w:rsidP="00BF3E15">
      <w:pPr>
        <w:pStyle w:val="ListParagraph"/>
        <w:widowControl/>
        <w:numPr>
          <w:ilvl w:val="0"/>
          <w:numId w:val="8"/>
        </w:numPr>
        <w:jc w:val="left"/>
      </w:pPr>
      <w:r w:rsidRPr="00BF3E15">
        <w:t xml:space="preserve">Sharif W, Sheikh K, De Silva I, Elsherbiny S. </w:t>
      </w:r>
      <w:proofErr w:type="spellStart"/>
      <w:r w:rsidRPr="00BF3E15">
        <w:t>Nonarteritic</w:t>
      </w:r>
      <w:proofErr w:type="spellEnd"/>
      <w:r w:rsidRPr="00BF3E15">
        <w:t xml:space="preserve"> anterior ischemic optic neuropathy associated with interferon and ribavirin in a patient with hepatitis C. American Journal of Ophthalmology Case Reports. 2017;5:52-55.</w:t>
      </w:r>
    </w:p>
    <w:p w14:paraId="4E485A3C" w14:textId="289F40A1" w:rsidR="00BF3E15" w:rsidRPr="00BF3E15" w:rsidRDefault="00BF3E15" w:rsidP="00BF3E15">
      <w:pPr>
        <w:pStyle w:val="ListParagraph"/>
        <w:widowControl/>
        <w:numPr>
          <w:ilvl w:val="0"/>
          <w:numId w:val="8"/>
        </w:numPr>
        <w:jc w:val="left"/>
      </w:pPr>
      <w:r w:rsidRPr="00BF3E15">
        <w:t xml:space="preserve">Lip P, </w:t>
      </w:r>
      <w:proofErr w:type="spellStart"/>
      <w:r w:rsidRPr="00BF3E15">
        <w:t>Malick</w:t>
      </w:r>
      <w:proofErr w:type="spellEnd"/>
      <w:r w:rsidRPr="00BF3E15">
        <w:t xml:space="preserve"> H, </w:t>
      </w:r>
      <w:proofErr w:type="spellStart"/>
      <w:r w:rsidRPr="00BF3E15">
        <w:t>Damer</w:t>
      </w:r>
      <w:proofErr w:type="spellEnd"/>
      <w:r w:rsidRPr="00BF3E15">
        <w:t xml:space="preserve"> K, Elsherbiny S, </w:t>
      </w:r>
      <w:proofErr w:type="spellStart"/>
      <w:r w:rsidRPr="00BF3E15">
        <w:t>Darrad</w:t>
      </w:r>
      <w:proofErr w:type="spellEnd"/>
      <w:r w:rsidRPr="00BF3E15">
        <w:t xml:space="preserve"> K, Mushtaq B et al. One-year outcome of bevacizumab therapy for chronic macular edema in central and branch retinal vein occlusions in real-world clinical practice in the UK. Clinical Ophthalmology. 2015;:1779.</w:t>
      </w:r>
    </w:p>
    <w:p w14:paraId="4F5430C7" w14:textId="77777777" w:rsidR="00AE3E37" w:rsidRDefault="00BF3E15" w:rsidP="00BF3E15">
      <w:pPr>
        <w:pStyle w:val="ListParagraph"/>
        <w:widowControl/>
        <w:numPr>
          <w:ilvl w:val="0"/>
          <w:numId w:val="8"/>
        </w:numPr>
      </w:pPr>
      <w:r w:rsidRPr="00BF3E15">
        <w:t xml:space="preserve">Mukherjee C, Mitra A, Kumar N, Elsherbiny S, Lip P. Macular Hole Formation After Intravitreal Ranibizumab Injection in </w:t>
      </w:r>
      <w:proofErr w:type="spellStart"/>
      <w:r w:rsidRPr="00BF3E15">
        <w:t>WetAge</w:t>
      </w:r>
      <w:proofErr w:type="spellEnd"/>
      <w:r w:rsidRPr="00BF3E15">
        <w:t>-Related Macular Degeneration. The Open Ophthalmology Journal. 2015;9(1):177-180.</w:t>
      </w:r>
    </w:p>
    <w:p w14:paraId="324BC395" w14:textId="2D062D2E" w:rsidR="00F051B7" w:rsidRPr="00F051B7" w:rsidRDefault="00F051B7" w:rsidP="00F051B7">
      <w:pPr>
        <w:pStyle w:val="ListParagraph"/>
        <w:widowControl/>
        <w:numPr>
          <w:ilvl w:val="0"/>
          <w:numId w:val="8"/>
        </w:numPr>
      </w:pPr>
      <w:r w:rsidRPr="00F051B7">
        <w:t xml:space="preserve">Crosby N, Mushtaq B, </w:t>
      </w:r>
      <w:proofErr w:type="spellStart"/>
      <w:r w:rsidRPr="00F051B7">
        <w:t>Dimopoulos</w:t>
      </w:r>
      <w:proofErr w:type="spellEnd"/>
      <w:r w:rsidRPr="00F051B7">
        <w:t xml:space="preserve"> A, Lip P, </w:t>
      </w:r>
      <w:proofErr w:type="spellStart"/>
      <w:r w:rsidRPr="00F051B7">
        <w:t>Stavrou</w:t>
      </w:r>
      <w:proofErr w:type="spellEnd"/>
      <w:r w:rsidRPr="00F051B7">
        <w:t xml:space="preserve"> P, El-</w:t>
      </w:r>
      <w:proofErr w:type="spellStart"/>
      <w:r w:rsidRPr="00F051B7">
        <w:t>sherbiny</w:t>
      </w:r>
      <w:proofErr w:type="spellEnd"/>
      <w:r w:rsidRPr="00F051B7">
        <w:t xml:space="preserve"> S et al. Effect of initial retinal thickness on outcome of intravitreal bevacizumab therapy for diabetic macular edema. Clinical Ophthalmology. 2014;:807.</w:t>
      </w:r>
    </w:p>
    <w:p w14:paraId="7B524BE9" w14:textId="0F371603" w:rsidR="00F051B7" w:rsidRPr="00BF3E15" w:rsidRDefault="00F051B7" w:rsidP="00BF3E15">
      <w:pPr>
        <w:pStyle w:val="ListParagraph"/>
        <w:widowControl/>
        <w:numPr>
          <w:ilvl w:val="0"/>
          <w:numId w:val="8"/>
        </w:numPr>
        <w:sectPr w:rsidR="00F051B7" w:rsidRPr="00BF3E15" w:rsidSect="008E5477">
          <w:type w:val="continuous"/>
          <w:pgSz w:w="11910" w:h="16840"/>
          <w:pgMar w:top="995" w:right="600" w:bottom="840" w:left="620" w:header="720" w:footer="720" w:gutter="0"/>
          <w:cols w:num="2" w:space="720" w:equalWidth="0">
            <w:col w:w="5214" w:space="138"/>
            <w:col w:w="5338"/>
          </w:cols>
        </w:sectPr>
      </w:pPr>
    </w:p>
    <w:p w14:paraId="1F37188A" w14:textId="77777777" w:rsidR="00AE3E37" w:rsidRDefault="00AE3E37">
      <w:pPr>
        <w:pStyle w:val="BodyText"/>
        <w:rPr>
          <w:rFonts w:ascii="Calibri"/>
          <w:sz w:val="20"/>
        </w:rPr>
      </w:pPr>
    </w:p>
    <w:p w14:paraId="1FB5396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61E068C" wp14:editId="78EE124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617BFE7" w14:textId="65CD7210" w:rsidR="00AE3E37" w:rsidRPr="009D4F88" w:rsidRDefault="008756E6" w:rsidP="009D4F88">
      <w:pPr>
        <w:spacing w:before="92"/>
        <w:ind w:right="4234"/>
        <w:rPr>
          <w:rFonts w:ascii="Arial"/>
          <w:color w:val="BF5A14"/>
        </w:rPr>
        <w:sectPr w:rsidR="00AE3E37" w:rsidRPr="009D4F88" w:rsidSect="008E5477">
          <w:type w:val="continuous"/>
          <w:pgSz w:w="11910" w:h="16840"/>
          <w:pgMar w:top="995" w:right="600" w:bottom="840" w:left="620" w:header="720" w:footer="720" w:gutter="0"/>
          <w:cols w:space="720"/>
        </w:sectPr>
      </w:pPr>
      <w:r>
        <w:rPr>
          <w:noProof/>
        </w:rPr>
        <w:t xml:space="preserve">           </w:t>
      </w:r>
      <w:r w:rsidR="000C4A31">
        <w:rPr>
          <w:rFonts w:ascii="Arial"/>
          <w:noProof/>
          <w:color w:val="BF5A14"/>
        </w:rPr>
        <w:drawing>
          <wp:inline distT="0" distB="0" distL="0" distR="0" wp14:anchorId="4B5C6D41" wp14:editId="1E1F4B07">
            <wp:extent cx="1331595" cy="642025"/>
            <wp:effectExtent l="0" t="0" r="190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t="6491" b="7792"/>
                    <a:stretch/>
                  </pic:blipFill>
                  <pic:spPr bwMode="auto">
                    <a:xfrm>
                      <a:off x="0" y="0"/>
                      <a:ext cx="1337613" cy="644927"/>
                    </a:xfrm>
                    <a:prstGeom prst="rect">
                      <a:avLst/>
                    </a:prstGeom>
                    <a:ln>
                      <a:noFill/>
                    </a:ln>
                    <a:extLst>
                      <a:ext uri="{53640926-AAD7-44D8-BBD7-CCE9431645EC}">
                        <a14:shadowObscured xmlns:a14="http://schemas.microsoft.com/office/drawing/2010/main"/>
                      </a:ext>
                    </a:extLst>
                  </pic:spPr>
                </pic:pic>
              </a:graphicData>
            </a:graphic>
          </wp:inline>
        </w:drawing>
      </w:r>
      <w:r w:rsidR="000C4A31">
        <w:rPr>
          <w:rFonts w:ascii="Minion Pro"/>
          <w:noProof/>
          <w:sz w:val="26"/>
        </w:rPr>
        <w:drawing>
          <wp:inline distT="0" distB="0" distL="0" distR="0" wp14:anchorId="159DCFA5" wp14:editId="62339BC5">
            <wp:extent cx="1651000" cy="622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1000" cy="622300"/>
                    </a:xfrm>
                    <a:prstGeom prst="rect">
                      <a:avLst/>
                    </a:prstGeom>
                  </pic:spPr>
                </pic:pic>
              </a:graphicData>
            </a:graphic>
          </wp:inline>
        </w:drawing>
      </w:r>
    </w:p>
    <w:p w14:paraId="7829D908" w14:textId="77777777" w:rsidR="00F046EA" w:rsidRPr="0013708E" w:rsidRDefault="00F046EA" w:rsidP="00F046EA">
      <w:pPr>
        <w:jc w:val="both"/>
        <w:rPr>
          <w:b/>
        </w:rPr>
      </w:pPr>
      <w:r w:rsidRPr="0013708E">
        <w:rPr>
          <w:b/>
        </w:rPr>
        <w:lastRenderedPageBreak/>
        <w:t xml:space="preserve">Presenting author details </w:t>
      </w:r>
    </w:p>
    <w:p w14:paraId="7877F91F" w14:textId="591ADDEC" w:rsidR="00F046EA" w:rsidRPr="0013708E" w:rsidRDefault="00F046EA" w:rsidP="00F046EA">
      <w:pPr>
        <w:jc w:val="both"/>
      </w:pPr>
      <w:r w:rsidRPr="0013708E">
        <w:t xml:space="preserve">Full name: </w:t>
      </w:r>
      <w:r w:rsidR="00B30E15">
        <w:t xml:space="preserve">Yazan </w:t>
      </w:r>
      <w:proofErr w:type="spellStart"/>
      <w:r w:rsidR="00B30E15">
        <w:t>Fakhoury</w:t>
      </w:r>
      <w:proofErr w:type="spellEnd"/>
    </w:p>
    <w:p w14:paraId="2D9D05C9" w14:textId="022ACC1A" w:rsidR="00F046EA" w:rsidRDefault="00F046EA" w:rsidP="00F046EA">
      <w:pPr>
        <w:jc w:val="both"/>
      </w:pPr>
      <w:r w:rsidRPr="0013708E">
        <w:t>Contact number:</w:t>
      </w:r>
      <w:r w:rsidR="00B30E15">
        <w:t xml:space="preserve"> </w:t>
      </w:r>
      <w:r w:rsidR="009D4F88">
        <w:t>+</w:t>
      </w:r>
      <w:r w:rsidR="00B30E15">
        <w:t>447835204312</w:t>
      </w:r>
    </w:p>
    <w:p w14:paraId="7BF3BCAB" w14:textId="5FB9C432" w:rsidR="00F046EA" w:rsidRPr="0013708E" w:rsidRDefault="00F046EA" w:rsidP="00F046EA">
      <w:pPr>
        <w:jc w:val="both"/>
      </w:pPr>
      <w:r>
        <w:t xml:space="preserve">Mail id: </w:t>
      </w:r>
      <w:r w:rsidR="00B30E15">
        <w:t>DrYFakhoury@yahoo.com</w:t>
      </w:r>
    </w:p>
    <w:p w14:paraId="5099E55B" w14:textId="632634D3" w:rsidR="00F046EA" w:rsidRDefault="00F046EA" w:rsidP="00F046EA">
      <w:pPr>
        <w:jc w:val="both"/>
      </w:pPr>
      <w:r w:rsidRPr="0013708E">
        <w:t xml:space="preserve">Category: </w:t>
      </w:r>
      <w:r w:rsidR="00B30E15">
        <w:t>E-Poster Presentation</w:t>
      </w:r>
      <w:r>
        <w:t xml:space="preserve"> </w:t>
      </w:r>
    </w:p>
    <w:p w14:paraId="3B00AA01" w14:textId="1ECDC0B4"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455C2" w14:textId="77777777" w:rsidR="00CA2F1A" w:rsidRDefault="00CA2F1A">
      <w:r>
        <w:separator/>
      </w:r>
    </w:p>
  </w:endnote>
  <w:endnote w:type="continuationSeparator" w:id="0">
    <w:p w14:paraId="4576E54E" w14:textId="77777777" w:rsidR="00CA2F1A" w:rsidRDefault="00CA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6DC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129BF45" wp14:editId="799BA2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CBC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98285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29BF45"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14:paraId="27BCBC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98285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2B3A3DD" wp14:editId="20A234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732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C3F2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3A3DD"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062732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C3F2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9D12679" wp14:editId="37BD9CB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557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70FA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1267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0285574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70FA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A3C7E" w14:textId="77777777" w:rsidR="00CA2F1A" w:rsidRDefault="00CA2F1A">
      <w:r>
        <w:separator/>
      </w:r>
    </w:p>
  </w:footnote>
  <w:footnote w:type="continuationSeparator" w:id="0">
    <w:p w14:paraId="2BA284D1" w14:textId="77777777" w:rsidR="00CA2F1A" w:rsidRDefault="00CA2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917C3"/>
    <w:multiLevelType w:val="hybridMultilevel"/>
    <w:tmpl w:val="FE34B1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2C07D6"/>
    <w:multiLevelType w:val="hybridMultilevel"/>
    <w:tmpl w:val="9F482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8085074"/>
    <w:multiLevelType w:val="multilevel"/>
    <w:tmpl w:val="5BEAA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FD053B"/>
    <w:multiLevelType w:val="multilevel"/>
    <w:tmpl w:val="B8DE9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15:restartNumberingAfterBreak="0">
    <w:nsid w:val="62BF7A87"/>
    <w:multiLevelType w:val="multilevel"/>
    <w:tmpl w:val="CE4A8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6"/>
  </w:num>
  <w:num w:numId="5">
    <w:abstractNumId w:val="3"/>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66540"/>
    <w:rsid w:val="000C4A31"/>
    <w:rsid w:val="000E2911"/>
    <w:rsid w:val="001005CB"/>
    <w:rsid w:val="001263DF"/>
    <w:rsid w:val="00221FFB"/>
    <w:rsid w:val="00292ED9"/>
    <w:rsid w:val="00351D9B"/>
    <w:rsid w:val="00380299"/>
    <w:rsid w:val="00390020"/>
    <w:rsid w:val="00404E5B"/>
    <w:rsid w:val="00414F7B"/>
    <w:rsid w:val="00426B66"/>
    <w:rsid w:val="004355DC"/>
    <w:rsid w:val="004749B4"/>
    <w:rsid w:val="00494130"/>
    <w:rsid w:val="004F3523"/>
    <w:rsid w:val="005973B9"/>
    <w:rsid w:val="005B3A56"/>
    <w:rsid w:val="006060CE"/>
    <w:rsid w:val="0061505C"/>
    <w:rsid w:val="0063497F"/>
    <w:rsid w:val="00714354"/>
    <w:rsid w:val="0079614C"/>
    <w:rsid w:val="00826080"/>
    <w:rsid w:val="00873DF0"/>
    <w:rsid w:val="008756E6"/>
    <w:rsid w:val="00897EC5"/>
    <w:rsid w:val="008E5477"/>
    <w:rsid w:val="009409B5"/>
    <w:rsid w:val="0096160A"/>
    <w:rsid w:val="00995D54"/>
    <w:rsid w:val="009B2D44"/>
    <w:rsid w:val="009D4F88"/>
    <w:rsid w:val="00A07E82"/>
    <w:rsid w:val="00A15C5A"/>
    <w:rsid w:val="00A52075"/>
    <w:rsid w:val="00A9710C"/>
    <w:rsid w:val="00AD2980"/>
    <w:rsid w:val="00AE3E37"/>
    <w:rsid w:val="00B21A57"/>
    <w:rsid w:val="00B30E15"/>
    <w:rsid w:val="00BF3E15"/>
    <w:rsid w:val="00C33602"/>
    <w:rsid w:val="00C56C74"/>
    <w:rsid w:val="00C91E73"/>
    <w:rsid w:val="00CA2F1A"/>
    <w:rsid w:val="00CD6F55"/>
    <w:rsid w:val="00DE3104"/>
    <w:rsid w:val="00DE6170"/>
    <w:rsid w:val="00E30AAC"/>
    <w:rsid w:val="00E95D97"/>
    <w:rsid w:val="00EE62D6"/>
    <w:rsid w:val="00F046EA"/>
    <w:rsid w:val="00F051B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DF387"/>
  <w15:docId w15:val="{37FBC097-AD9B-AE42-95AA-5FB244C1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B30E15"/>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5501">
      <w:bodyDiv w:val="1"/>
      <w:marLeft w:val="0"/>
      <w:marRight w:val="0"/>
      <w:marTop w:val="0"/>
      <w:marBottom w:val="0"/>
      <w:divBdr>
        <w:top w:val="none" w:sz="0" w:space="0" w:color="auto"/>
        <w:left w:val="none" w:sz="0" w:space="0" w:color="auto"/>
        <w:bottom w:val="none" w:sz="0" w:space="0" w:color="auto"/>
        <w:right w:val="none" w:sz="0" w:space="0" w:color="auto"/>
      </w:divBdr>
    </w:div>
    <w:div w:id="89470353">
      <w:bodyDiv w:val="1"/>
      <w:marLeft w:val="0"/>
      <w:marRight w:val="0"/>
      <w:marTop w:val="0"/>
      <w:marBottom w:val="0"/>
      <w:divBdr>
        <w:top w:val="none" w:sz="0" w:space="0" w:color="auto"/>
        <w:left w:val="none" w:sz="0" w:space="0" w:color="auto"/>
        <w:bottom w:val="none" w:sz="0" w:space="0" w:color="auto"/>
        <w:right w:val="none" w:sz="0" w:space="0" w:color="auto"/>
      </w:divBdr>
    </w:div>
    <w:div w:id="151482245">
      <w:bodyDiv w:val="1"/>
      <w:marLeft w:val="0"/>
      <w:marRight w:val="0"/>
      <w:marTop w:val="0"/>
      <w:marBottom w:val="0"/>
      <w:divBdr>
        <w:top w:val="none" w:sz="0" w:space="0" w:color="auto"/>
        <w:left w:val="none" w:sz="0" w:space="0" w:color="auto"/>
        <w:bottom w:val="none" w:sz="0" w:space="0" w:color="auto"/>
        <w:right w:val="none" w:sz="0" w:space="0" w:color="auto"/>
      </w:divBdr>
    </w:div>
    <w:div w:id="313948634">
      <w:bodyDiv w:val="1"/>
      <w:marLeft w:val="0"/>
      <w:marRight w:val="0"/>
      <w:marTop w:val="0"/>
      <w:marBottom w:val="0"/>
      <w:divBdr>
        <w:top w:val="none" w:sz="0" w:space="0" w:color="auto"/>
        <w:left w:val="none" w:sz="0" w:space="0" w:color="auto"/>
        <w:bottom w:val="none" w:sz="0" w:space="0" w:color="auto"/>
        <w:right w:val="none" w:sz="0" w:space="0" w:color="auto"/>
      </w:divBdr>
      <w:divsChild>
        <w:div w:id="345984433">
          <w:marLeft w:val="0"/>
          <w:marRight w:val="0"/>
          <w:marTop w:val="0"/>
          <w:marBottom w:val="0"/>
          <w:divBdr>
            <w:top w:val="none" w:sz="0" w:space="0" w:color="auto"/>
            <w:left w:val="none" w:sz="0" w:space="0" w:color="auto"/>
            <w:bottom w:val="none" w:sz="0" w:space="0" w:color="auto"/>
            <w:right w:val="none" w:sz="0" w:space="0" w:color="auto"/>
          </w:divBdr>
          <w:divsChild>
            <w:div w:id="2134932973">
              <w:marLeft w:val="0"/>
              <w:marRight w:val="0"/>
              <w:marTop w:val="0"/>
              <w:marBottom w:val="0"/>
              <w:divBdr>
                <w:top w:val="none" w:sz="0" w:space="0" w:color="auto"/>
                <w:left w:val="none" w:sz="0" w:space="0" w:color="auto"/>
                <w:bottom w:val="none" w:sz="0" w:space="0" w:color="auto"/>
                <w:right w:val="none" w:sz="0" w:space="0" w:color="auto"/>
              </w:divBdr>
              <w:divsChild>
                <w:div w:id="46323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44450">
      <w:bodyDiv w:val="1"/>
      <w:marLeft w:val="0"/>
      <w:marRight w:val="0"/>
      <w:marTop w:val="0"/>
      <w:marBottom w:val="0"/>
      <w:divBdr>
        <w:top w:val="none" w:sz="0" w:space="0" w:color="auto"/>
        <w:left w:val="none" w:sz="0" w:space="0" w:color="auto"/>
        <w:bottom w:val="none" w:sz="0" w:space="0" w:color="auto"/>
        <w:right w:val="none" w:sz="0" w:space="0" w:color="auto"/>
      </w:divBdr>
      <w:divsChild>
        <w:div w:id="2054501300">
          <w:marLeft w:val="0"/>
          <w:marRight w:val="0"/>
          <w:marTop w:val="0"/>
          <w:marBottom w:val="0"/>
          <w:divBdr>
            <w:top w:val="none" w:sz="0" w:space="0" w:color="auto"/>
            <w:left w:val="none" w:sz="0" w:space="0" w:color="auto"/>
            <w:bottom w:val="none" w:sz="0" w:space="0" w:color="auto"/>
            <w:right w:val="none" w:sz="0" w:space="0" w:color="auto"/>
          </w:divBdr>
          <w:divsChild>
            <w:div w:id="1590843868">
              <w:marLeft w:val="0"/>
              <w:marRight w:val="0"/>
              <w:marTop w:val="0"/>
              <w:marBottom w:val="0"/>
              <w:divBdr>
                <w:top w:val="none" w:sz="0" w:space="0" w:color="auto"/>
                <w:left w:val="none" w:sz="0" w:space="0" w:color="auto"/>
                <w:bottom w:val="none" w:sz="0" w:space="0" w:color="auto"/>
                <w:right w:val="none" w:sz="0" w:space="0" w:color="auto"/>
              </w:divBdr>
              <w:divsChild>
                <w:div w:id="59613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8294200">
      <w:bodyDiv w:val="1"/>
      <w:marLeft w:val="0"/>
      <w:marRight w:val="0"/>
      <w:marTop w:val="0"/>
      <w:marBottom w:val="0"/>
      <w:divBdr>
        <w:top w:val="none" w:sz="0" w:space="0" w:color="auto"/>
        <w:left w:val="none" w:sz="0" w:space="0" w:color="auto"/>
        <w:bottom w:val="none" w:sz="0" w:space="0" w:color="auto"/>
        <w:right w:val="none" w:sz="0" w:space="0" w:color="auto"/>
      </w:divBdr>
      <w:divsChild>
        <w:div w:id="213280432">
          <w:marLeft w:val="0"/>
          <w:marRight w:val="0"/>
          <w:marTop w:val="0"/>
          <w:marBottom w:val="0"/>
          <w:divBdr>
            <w:top w:val="none" w:sz="0" w:space="0" w:color="auto"/>
            <w:left w:val="none" w:sz="0" w:space="0" w:color="auto"/>
            <w:bottom w:val="none" w:sz="0" w:space="0" w:color="auto"/>
            <w:right w:val="none" w:sz="0" w:space="0" w:color="auto"/>
          </w:divBdr>
          <w:divsChild>
            <w:div w:id="1158837857">
              <w:marLeft w:val="0"/>
              <w:marRight w:val="0"/>
              <w:marTop w:val="0"/>
              <w:marBottom w:val="0"/>
              <w:divBdr>
                <w:top w:val="none" w:sz="0" w:space="0" w:color="auto"/>
                <w:left w:val="none" w:sz="0" w:space="0" w:color="auto"/>
                <w:bottom w:val="none" w:sz="0" w:space="0" w:color="auto"/>
                <w:right w:val="none" w:sz="0" w:space="0" w:color="auto"/>
              </w:divBdr>
              <w:divsChild>
                <w:div w:id="11668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604925">
      <w:bodyDiv w:val="1"/>
      <w:marLeft w:val="0"/>
      <w:marRight w:val="0"/>
      <w:marTop w:val="0"/>
      <w:marBottom w:val="0"/>
      <w:divBdr>
        <w:top w:val="none" w:sz="0" w:space="0" w:color="auto"/>
        <w:left w:val="none" w:sz="0" w:space="0" w:color="auto"/>
        <w:bottom w:val="none" w:sz="0" w:space="0" w:color="auto"/>
        <w:right w:val="none" w:sz="0" w:space="0" w:color="auto"/>
      </w:divBdr>
      <w:divsChild>
        <w:div w:id="1267688896">
          <w:marLeft w:val="0"/>
          <w:marRight w:val="0"/>
          <w:marTop w:val="0"/>
          <w:marBottom w:val="0"/>
          <w:divBdr>
            <w:top w:val="none" w:sz="0" w:space="0" w:color="auto"/>
            <w:left w:val="none" w:sz="0" w:space="0" w:color="auto"/>
            <w:bottom w:val="none" w:sz="0" w:space="0" w:color="auto"/>
            <w:right w:val="none" w:sz="0" w:space="0" w:color="auto"/>
          </w:divBdr>
          <w:divsChild>
            <w:div w:id="227770319">
              <w:marLeft w:val="0"/>
              <w:marRight w:val="0"/>
              <w:marTop w:val="0"/>
              <w:marBottom w:val="0"/>
              <w:divBdr>
                <w:top w:val="none" w:sz="0" w:space="0" w:color="auto"/>
                <w:left w:val="none" w:sz="0" w:space="0" w:color="auto"/>
                <w:bottom w:val="none" w:sz="0" w:space="0" w:color="auto"/>
                <w:right w:val="none" w:sz="0" w:space="0" w:color="auto"/>
              </w:divBdr>
              <w:divsChild>
                <w:div w:id="58727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242181">
      <w:bodyDiv w:val="1"/>
      <w:marLeft w:val="0"/>
      <w:marRight w:val="0"/>
      <w:marTop w:val="0"/>
      <w:marBottom w:val="0"/>
      <w:divBdr>
        <w:top w:val="none" w:sz="0" w:space="0" w:color="auto"/>
        <w:left w:val="none" w:sz="0" w:space="0" w:color="auto"/>
        <w:bottom w:val="none" w:sz="0" w:space="0" w:color="auto"/>
        <w:right w:val="none" w:sz="0" w:space="0" w:color="auto"/>
      </w:divBdr>
    </w:div>
    <w:div w:id="750664343">
      <w:bodyDiv w:val="1"/>
      <w:marLeft w:val="0"/>
      <w:marRight w:val="0"/>
      <w:marTop w:val="0"/>
      <w:marBottom w:val="0"/>
      <w:divBdr>
        <w:top w:val="none" w:sz="0" w:space="0" w:color="auto"/>
        <w:left w:val="none" w:sz="0" w:space="0" w:color="auto"/>
        <w:bottom w:val="none" w:sz="0" w:space="0" w:color="auto"/>
        <w:right w:val="none" w:sz="0" w:space="0" w:color="auto"/>
      </w:divBdr>
    </w:div>
    <w:div w:id="962881878">
      <w:bodyDiv w:val="1"/>
      <w:marLeft w:val="0"/>
      <w:marRight w:val="0"/>
      <w:marTop w:val="0"/>
      <w:marBottom w:val="0"/>
      <w:divBdr>
        <w:top w:val="none" w:sz="0" w:space="0" w:color="auto"/>
        <w:left w:val="none" w:sz="0" w:space="0" w:color="auto"/>
        <w:bottom w:val="none" w:sz="0" w:space="0" w:color="auto"/>
        <w:right w:val="none" w:sz="0" w:space="0" w:color="auto"/>
      </w:divBdr>
      <w:divsChild>
        <w:div w:id="1568420185">
          <w:marLeft w:val="0"/>
          <w:marRight w:val="0"/>
          <w:marTop w:val="0"/>
          <w:marBottom w:val="0"/>
          <w:divBdr>
            <w:top w:val="none" w:sz="0" w:space="0" w:color="auto"/>
            <w:left w:val="none" w:sz="0" w:space="0" w:color="auto"/>
            <w:bottom w:val="none" w:sz="0" w:space="0" w:color="auto"/>
            <w:right w:val="none" w:sz="0" w:space="0" w:color="auto"/>
          </w:divBdr>
          <w:divsChild>
            <w:div w:id="1647585919">
              <w:marLeft w:val="0"/>
              <w:marRight w:val="0"/>
              <w:marTop w:val="0"/>
              <w:marBottom w:val="0"/>
              <w:divBdr>
                <w:top w:val="none" w:sz="0" w:space="0" w:color="auto"/>
                <w:left w:val="none" w:sz="0" w:space="0" w:color="auto"/>
                <w:bottom w:val="none" w:sz="0" w:space="0" w:color="auto"/>
                <w:right w:val="none" w:sz="0" w:space="0" w:color="auto"/>
              </w:divBdr>
              <w:divsChild>
                <w:div w:id="95980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539920">
      <w:bodyDiv w:val="1"/>
      <w:marLeft w:val="0"/>
      <w:marRight w:val="0"/>
      <w:marTop w:val="0"/>
      <w:marBottom w:val="0"/>
      <w:divBdr>
        <w:top w:val="none" w:sz="0" w:space="0" w:color="auto"/>
        <w:left w:val="none" w:sz="0" w:space="0" w:color="auto"/>
        <w:bottom w:val="none" w:sz="0" w:space="0" w:color="auto"/>
        <w:right w:val="none" w:sz="0" w:space="0" w:color="auto"/>
      </w:divBdr>
    </w:div>
    <w:div w:id="143486325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3706619">
      <w:bodyDiv w:val="1"/>
      <w:marLeft w:val="0"/>
      <w:marRight w:val="0"/>
      <w:marTop w:val="0"/>
      <w:marBottom w:val="0"/>
      <w:divBdr>
        <w:top w:val="none" w:sz="0" w:space="0" w:color="auto"/>
        <w:left w:val="none" w:sz="0" w:space="0" w:color="auto"/>
        <w:bottom w:val="none" w:sz="0" w:space="0" w:color="auto"/>
        <w:right w:val="none" w:sz="0" w:space="0" w:color="auto"/>
      </w:divBdr>
      <w:divsChild>
        <w:div w:id="724450254">
          <w:marLeft w:val="0"/>
          <w:marRight w:val="0"/>
          <w:marTop w:val="0"/>
          <w:marBottom w:val="0"/>
          <w:divBdr>
            <w:top w:val="none" w:sz="0" w:space="0" w:color="auto"/>
            <w:left w:val="none" w:sz="0" w:space="0" w:color="auto"/>
            <w:bottom w:val="none" w:sz="0" w:space="0" w:color="auto"/>
            <w:right w:val="none" w:sz="0" w:space="0" w:color="auto"/>
          </w:divBdr>
          <w:divsChild>
            <w:div w:id="790131598">
              <w:marLeft w:val="0"/>
              <w:marRight w:val="0"/>
              <w:marTop w:val="0"/>
              <w:marBottom w:val="0"/>
              <w:divBdr>
                <w:top w:val="none" w:sz="0" w:space="0" w:color="auto"/>
                <w:left w:val="none" w:sz="0" w:space="0" w:color="auto"/>
                <w:bottom w:val="none" w:sz="0" w:space="0" w:color="auto"/>
                <w:right w:val="none" w:sz="0" w:space="0" w:color="auto"/>
              </w:divBdr>
              <w:divsChild>
                <w:div w:id="63657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487806">
      <w:bodyDiv w:val="1"/>
      <w:marLeft w:val="0"/>
      <w:marRight w:val="0"/>
      <w:marTop w:val="0"/>
      <w:marBottom w:val="0"/>
      <w:divBdr>
        <w:top w:val="none" w:sz="0" w:space="0" w:color="auto"/>
        <w:left w:val="none" w:sz="0" w:space="0" w:color="auto"/>
        <w:bottom w:val="none" w:sz="0" w:space="0" w:color="auto"/>
        <w:right w:val="none" w:sz="0" w:space="0" w:color="auto"/>
      </w:divBdr>
    </w:div>
    <w:div w:id="1917006357">
      <w:bodyDiv w:val="1"/>
      <w:marLeft w:val="0"/>
      <w:marRight w:val="0"/>
      <w:marTop w:val="0"/>
      <w:marBottom w:val="0"/>
      <w:divBdr>
        <w:top w:val="none" w:sz="0" w:space="0" w:color="auto"/>
        <w:left w:val="none" w:sz="0" w:space="0" w:color="auto"/>
        <w:bottom w:val="none" w:sz="0" w:space="0" w:color="auto"/>
        <w:right w:val="none" w:sz="0" w:space="0" w:color="auto"/>
      </w:divBdr>
      <w:divsChild>
        <w:div w:id="906646844">
          <w:marLeft w:val="0"/>
          <w:marRight w:val="0"/>
          <w:marTop w:val="0"/>
          <w:marBottom w:val="0"/>
          <w:divBdr>
            <w:top w:val="none" w:sz="0" w:space="0" w:color="auto"/>
            <w:left w:val="none" w:sz="0" w:space="0" w:color="auto"/>
            <w:bottom w:val="none" w:sz="0" w:space="0" w:color="auto"/>
            <w:right w:val="none" w:sz="0" w:space="0" w:color="auto"/>
          </w:divBdr>
          <w:divsChild>
            <w:div w:id="226886541">
              <w:marLeft w:val="0"/>
              <w:marRight w:val="0"/>
              <w:marTop w:val="0"/>
              <w:marBottom w:val="0"/>
              <w:divBdr>
                <w:top w:val="none" w:sz="0" w:space="0" w:color="auto"/>
                <w:left w:val="none" w:sz="0" w:space="0" w:color="auto"/>
                <w:bottom w:val="none" w:sz="0" w:space="0" w:color="auto"/>
                <w:right w:val="none" w:sz="0" w:space="0" w:color="auto"/>
              </w:divBdr>
              <w:divsChild>
                <w:div w:id="37273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34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dryfakhoury@gmail.com</cp:lastModifiedBy>
  <cp:revision>9</cp:revision>
  <dcterms:created xsi:type="dcterms:W3CDTF">2021-03-05T11:21:00Z</dcterms:created>
  <dcterms:modified xsi:type="dcterms:W3CDTF">2021-09-26T10:29:00Z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