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2411E" w14:textId="4DEF78F4" w:rsidR="00B81FB9" w:rsidRDefault="00B81FB9" w:rsidP="00B81FB9">
      <w:pPr>
        <w:spacing w:after="200" w:line="360" w:lineRule="auto"/>
        <w:jc w:val="both"/>
        <w:rPr>
          <w:rFonts w:ascii="Times New Roman" w:eastAsia="Calibri" w:hAnsi="Times New Roman" w:cs="Times New Roman"/>
          <w:b/>
          <w:noProof/>
          <w:sz w:val="24"/>
          <w:lang w:val="en-GB"/>
        </w:rPr>
      </w:pPr>
      <w:r w:rsidRPr="00B81FB9">
        <w:rPr>
          <w:rFonts w:ascii="Times New Roman" w:eastAsia="Calibri" w:hAnsi="Times New Roman" w:cs="Times New Roman"/>
          <w:b/>
          <w:noProof/>
          <w:sz w:val="24"/>
          <w:lang w:val="en-GB"/>
        </w:rPr>
        <w:t>Evaluation of the efficacy of micronutrition therapy in patients with neovascular AMD who could not perform intravitreal therapy during the Covid pandemic period.</w:t>
      </w:r>
    </w:p>
    <w:p w14:paraId="76FFFC08" w14:textId="33D46459" w:rsidR="00383E7F" w:rsidRPr="00D2081C" w:rsidRDefault="00383E7F" w:rsidP="00B81FB9">
      <w:pPr>
        <w:spacing w:after="200" w:line="360" w:lineRule="auto"/>
        <w:jc w:val="both"/>
        <w:rPr>
          <w:rFonts w:ascii="Times New Roman" w:eastAsia="Calibri" w:hAnsi="Times New Roman" w:cs="Times New Roman"/>
          <w:bCs/>
          <w:i/>
          <w:iCs/>
          <w:noProof/>
          <w:sz w:val="24"/>
          <w:lang w:val="en-GB"/>
        </w:rPr>
      </w:pPr>
      <w:r w:rsidRPr="00D2081C">
        <w:rPr>
          <w:rFonts w:ascii="Times New Roman" w:eastAsia="Calibri" w:hAnsi="Times New Roman" w:cs="Times New Roman"/>
          <w:bCs/>
          <w:i/>
          <w:iCs/>
          <w:noProof/>
          <w:sz w:val="24"/>
          <w:lang w:val="en-GB"/>
        </w:rPr>
        <w:t xml:space="preserve">Erdinç Bozkurt, MD, </w:t>
      </w:r>
      <w:r w:rsidR="00616D84" w:rsidRPr="00D2081C">
        <w:rPr>
          <w:rFonts w:ascii="Times New Roman" w:eastAsia="Calibri" w:hAnsi="Times New Roman" w:cs="Times New Roman"/>
          <w:bCs/>
          <w:i/>
          <w:iCs/>
          <w:noProof/>
          <w:sz w:val="24"/>
          <w:lang w:val="en-GB"/>
        </w:rPr>
        <w:t>Turkey</w:t>
      </w:r>
    </w:p>
    <w:p w14:paraId="761A67B2" w14:textId="6C9BEEFE" w:rsidR="00A27F3A" w:rsidRPr="00D2081C" w:rsidRDefault="00A27F3A" w:rsidP="00B81FB9">
      <w:pPr>
        <w:spacing w:after="200" w:line="360" w:lineRule="auto"/>
        <w:jc w:val="both"/>
        <w:rPr>
          <w:rFonts w:ascii="Times New Roman" w:eastAsia="Calibri" w:hAnsi="Times New Roman" w:cs="Times New Roman"/>
          <w:bCs/>
          <w:i/>
          <w:iCs/>
          <w:noProof/>
          <w:sz w:val="24"/>
          <w:lang w:val="en-GB"/>
        </w:rPr>
      </w:pPr>
      <w:r w:rsidRPr="00D2081C">
        <w:rPr>
          <w:rFonts w:ascii="Times New Roman" w:eastAsia="Calibri" w:hAnsi="Times New Roman" w:cs="Times New Roman"/>
          <w:bCs/>
          <w:i/>
          <w:iCs/>
          <w:noProof/>
          <w:sz w:val="24"/>
          <w:lang w:val="en-GB"/>
        </w:rPr>
        <w:t>Utku Limon, MD, Turkey</w:t>
      </w:r>
    </w:p>
    <w:p w14:paraId="352C7312" w14:textId="5B64B5AA" w:rsidR="00A27F3A" w:rsidRPr="00D2081C" w:rsidRDefault="00A27F3A" w:rsidP="00B81FB9">
      <w:pPr>
        <w:spacing w:after="200" w:line="360" w:lineRule="auto"/>
        <w:jc w:val="both"/>
        <w:rPr>
          <w:rFonts w:ascii="Times New Roman" w:eastAsia="Calibri" w:hAnsi="Times New Roman" w:cs="Times New Roman"/>
          <w:bCs/>
          <w:i/>
          <w:iCs/>
          <w:noProof/>
          <w:sz w:val="24"/>
          <w:lang w:val="en-GB"/>
        </w:rPr>
      </w:pPr>
      <w:r w:rsidRPr="00D2081C">
        <w:rPr>
          <w:rFonts w:ascii="Times New Roman" w:eastAsia="Calibri" w:hAnsi="Times New Roman" w:cs="Times New Roman"/>
          <w:bCs/>
          <w:i/>
          <w:iCs/>
          <w:noProof/>
          <w:sz w:val="24"/>
          <w:lang w:val="en-GB"/>
        </w:rPr>
        <w:t xml:space="preserve">Gamze </w:t>
      </w:r>
      <w:r w:rsidR="009E5BA1" w:rsidRPr="00D2081C">
        <w:rPr>
          <w:rFonts w:ascii="Times New Roman" w:eastAsia="Calibri" w:hAnsi="Times New Roman" w:cs="Times New Roman"/>
          <w:bCs/>
          <w:i/>
          <w:iCs/>
          <w:noProof/>
          <w:sz w:val="24"/>
          <w:lang w:val="en-GB"/>
        </w:rPr>
        <w:t>Tanındı Duman, MD,</w:t>
      </w:r>
      <w:r w:rsidR="00B26C6A" w:rsidRPr="00D2081C">
        <w:rPr>
          <w:rFonts w:ascii="Times New Roman" w:eastAsia="Calibri" w:hAnsi="Times New Roman" w:cs="Times New Roman"/>
          <w:bCs/>
          <w:i/>
          <w:iCs/>
          <w:noProof/>
          <w:sz w:val="24"/>
          <w:lang w:val="en-GB"/>
        </w:rPr>
        <w:t xml:space="preserve"> </w:t>
      </w:r>
      <w:r w:rsidR="009E5BA1" w:rsidRPr="00D2081C">
        <w:rPr>
          <w:rFonts w:ascii="Times New Roman" w:eastAsia="Calibri" w:hAnsi="Times New Roman" w:cs="Times New Roman"/>
          <w:bCs/>
          <w:i/>
          <w:iCs/>
          <w:noProof/>
          <w:sz w:val="24"/>
          <w:lang w:val="en-GB"/>
        </w:rPr>
        <w:t>Turkey</w:t>
      </w:r>
    </w:p>
    <w:p w14:paraId="419A247B" w14:textId="1F4E20C2" w:rsidR="00B26C6A" w:rsidRPr="00B81FB9" w:rsidRDefault="00B26C6A" w:rsidP="00B81FB9">
      <w:pPr>
        <w:spacing w:after="200" w:line="360" w:lineRule="auto"/>
        <w:jc w:val="both"/>
        <w:rPr>
          <w:rFonts w:ascii="Times New Roman" w:eastAsia="Calibri" w:hAnsi="Times New Roman" w:cs="Times New Roman"/>
          <w:bCs/>
          <w:i/>
          <w:iCs/>
          <w:noProof/>
          <w:sz w:val="24"/>
          <w:lang w:val="en-GB"/>
        </w:rPr>
      </w:pPr>
      <w:r w:rsidRPr="00D2081C">
        <w:rPr>
          <w:rFonts w:ascii="Times New Roman" w:eastAsia="Calibri" w:hAnsi="Times New Roman" w:cs="Times New Roman"/>
          <w:bCs/>
          <w:i/>
          <w:iCs/>
          <w:noProof/>
          <w:sz w:val="24"/>
          <w:lang w:val="en-GB"/>
        </w:rPr>
        <w:t>Betül İlkay Sezgin Akçay, MD, Turkey</w:t>
      </w:r>
    </w:p>
    <w:p w14:paraId="4CD907F2" w14:textId="77777777" w:rsidR="00B81FB9" w:rsidRPr="00B81FB9" w:rsidRDefault="00B81FB9" w:rsidP="00B81FB9">
      <w:pPr>
        <w:spacing w:after="200" w:line="360" w:lineRule="auto"/>
        <w:jc w:val="both"/>
        <w:rPr>
          <w:rFonts w:ascii="Times New Roman" w:eastAsia="Calibri" w:hAnsi="Times New Roman" w:cs="Times New Roman"/>
          <w:b/>
          <w:noProof/>
          <w:sz w:val="24"/>
          <w:lang w:val="en-GB"/>
        </w:rPr>
      </w:pPr>
      <w:r w:rsidRPr="00B81FB9">
        <w:rPr>
          <w:rFonts w:ascii="Times New Roman" w:eastAsia="Calibri" w:hAnsi="Times New Roman" w:cs="Times New Roman"/>
          <w:b/>
          <w:noProof/>
          <w:sz w:val="24"/>
          <w:lang w:val="en-GB"/>
        </w:rPr>
        <w:t xml:space="preserve">Abstract </w:t>
      </w:r>
    </w:p>
    <w:p w14:paraId="3D12A60E" w14:textId="77777777" w:rsidR="00B81FB9" w:rsidRPr="00B81FB9" w:rsidRDefault="00B81FB9" w:rsidP="00B81FB9">
      <w:pPr>
        <w:spacing w:after="200" w:line="360" w:lineRule="auto"/>
        <w:jc w:val="both"/>
        <w:rPr>
          <w:rFonts w:ascii="Times New Roman" w:eastAsia="Calibri" w:hAnsi="Times New Roman" w:cs="Times New Roman"/>
          <w:noProof/>
          <w:sz w:val="24"/>
          <w:lang w:val="en-GB"/>
        </w:rPr>
      </w:pPr>
      <w:r w:rsidRPr="00B81FB9">
        <w:rPr>
          <w:rFonts w:ascii="Times New Roman" w:eastAsia="Calibri" w:hAnsi="Times New Roman" w:cs="Times New Roman"/>
          <w:b/>
          <w:noProof/>
          <w:sz w:val="24"/>
          <w:lang w:val="en-GB"/>
        </w:rPr>
        <w:t>Purpose</w:t>
      </w:r>
      <w:r w:rsidRPr="00B81FB9">
        <w:rPr>
          <w:rFonts w:ascii="Times New Roman" w:eastAsia="Calibri" w:hAnsi="Times New Roman" w:cs="Times New Roman"/>
          <w:noProof/>
          <w:sz w:val="24"/>
          <w:lang w:val="en-GB"/>
        </w:rPr>
        <w:t xml:space="preserve"> In this study our aim is to investigate the effectiveness of micronutrition therapy in patients with neovascular type AMD who cannot undergo intravitreal therapy during the pandemic period.</w:t>
      </w:r>
    </w:p>
    <w:p w14:paraId="0F794A72" w14:textId="033F3F80" w:rsidR="00B81FB9" w:rsidRPr="00B81FB9" w:rsidRDefault="00B81FB9" w:rsidP="00B81FB9">
      <w:pPr>
        <w:spacing w:after="200" w:line="360" w:lineRule="auto"/>
        <w:jc w:val="both"/>
        <w:rPr>
          <w:rFonts w:ascii="Times New Roman" w:eastAsia="Calibri" w:hAnsi="Times New Roman" w:cs="Times New Roman"/>
          <w:b/>
          <w:noProof/>
          <w:sz w:val="24"/>
          <w:lang w:val="en-GB"/>
        </w:rPr>
      </w:pPr>
      <w:r w:rsidRPr="00B81FB9">
        <w:rPr>
          <w:rFonts w:ascii="Times New Roman" w:eastAsia="Calibri" w:hAnsi="Times New Roman" w:cs="Times New Roman"/>
          <w:b/>
          <w:noProof/>
          <w:sz w:val="24"/>
          <w:lang w:val="en-GB"/>
        </w:rPr>
        <w:t xml:space="preserve">Material-Method: </w:t>
      </w:r>
      <w:r w:rsidRPr="00B81FB9">
        <w:rPr>
          <w:rFonts w:ascii="Times New Roman" w:eastAsia="Calibri" w:hAnsi="Times New Roman" w:cs="Times New Roman"/>
          <w:bCs/>
          <w:noProof/>
          <w:sz w:val="24"/>
          <w:lang w:val="en-GB"/>
        </w:rPr>
        <w:t>The files of patients with neovascular</w:t>
      </w:r>
      <w:r w:rsidRPr="00B81FB9">
        <w:rPr>
          <w:rFonts w:ascii="Calibri" w:eastAsia="Calibri" w:hAnsi="Calibri" w:cs="Times New Roman"/>
          <w:noProof/>
          <w:lang w:val="en-GB"/>
        </w:rPr>
        <w:t xml:space="preserve"> </w:t>
      </w:r>
      <w:r w:rsidRPr="00B81FB9">
        <w:rPr>
          <w:rFonts w:ascii="Times New Roman" w:eastAsia="Calibri" w:hAnsi="Times New Roman" w:cs="Times New Roman"/>
          <w:bCs/>
          <w:noProof/>
          <w:sz w:val="24"/>
          <w:lang w:val="en-GB"/>
        </w:rPr>
        <w:t>Age-related macular degeneration (nAMD) who could not receive intravitreal treatment between March 2020 and July 2021 were reviewed retrospectively.</w:t>
      </w:r>
      <w:r w:rsidRPr="00B81FB9">
        <w:rPr>
          <w:rFonts w:ascii="Calibri" w:eastAsia="Calibri" w:hAnsi="Calibri" w:cs="Times New Roman"/>
          <w:bCs/>
          <w:noProof/>
          <w:lang w:val="en-GB"/>
        </w:rPr>
        <w:t xml:space="preserve"> </w:t>
      </w:r>
      <w:r w:rsidRPr="00B81FB9">
        <w:rPr>
          <w:rFonts w:ascii="Times New Roman" w:eastAsia="Calibri" w:hAnsi="Times New Roman" w:cs="Times New Roman"/>
          <w:bCs/>
          <w:noProof/>
          <w:sz w:val="24"/>
          <w:lang w:val="en-GB"/>
        </w:rPr>
        <w:t>Two groups were formed from patients who met the inclusion criteria. Patients who received regular micronutrition therapy for at least 6 months were included in Group-1, and patients who did not receive regular micronutrition therapy in Group-2.</w:t>
      </w:r>
      <w:r w:rsidRPr="00B81FB9">
        <w:rPr>
          <w:rFonts w:ascii="Calibri" w:eastAsia="Calibri" w:hAnsi="Calibri" w:cs="Times New Roman"/>
          <w:bCs/>
          <w:noProof/>
          <w:lang w:val="en-GB"/>
        </w:rPr>
        <w:t xml:space="preserve"> </w:t>
      </w:r>
      <w:r w:rsidRPr="00B81FB9">
        <w:rPr>
          <w:rFonts w:ascii="Times New Roman" w:eastAsia="Calibri" w:hAnsi="Times New Roman" w:cs="Times New Roman"/>
          <w:bCs/>
          <w:noProof/>
          <w:sz w:val="24"/>
          <w:lang w:val="en-GB"/>
        </w:rPr>
        <w:t>Age, gender, duration of nAMD, treatments applied, duration of follow-up, intraocular pressure (IOP), best corrected visual acuity (BCVA), central macular thickness (CMT), type of micronutrition used and duration of use were recorded and data were created.</w:t>
      </w:r>
      <w:r w:rsidRPr="00B81FB9">
        <w:rPr>
          <w:rFonts w:ascii="Calibri" w:eastAsia="Calibri" w:hAnsi="Calibri" w:cs="Times New Roman"/>
          <w:bCs/>
          <w:noProof/>
          <w:lang w:val="en-GB"/>
        </w:rPr>
        <w:t xml:space="preserve"> </w:t>
      </w:r>
      <w:r w:rsidRPr="00B81FB9">
        <w:rPr>
          <w:rFonts w:ascii="Times New Roman" w:eastAsia="Calibri" w:hAnsi="Times New Roman" w:cs="Times New Roman"/>
          <w:bCs/>
          <w:noProof/>
          <w:sz w:val="24"/>
          <w:lang w:val="en-GB"/>
        </w:rPr>
        <w:t>The obtained data were compared between the two groups. Primarily, the change between BCVA and CMT between the two groups was evaluated.</w:t>
      </w:r>
    </w:p>
    <w:p w14:paraId="3B29A559" w14:textId="77777777" w:rsidR="00B81FB9" w:rsidRPr="00B81FB9" w:rsidRDefault="00B81FB9" w:rsidP="00B81FB9">
      <w:pPr>
        <w:spacing w:after="200" w:line="360" w:lineRule="auto"/>
        <w:jc w:val="both"/>
        <w:rPr>
          <w:rFonts w:ascii="Times New Roman" w:eastAsia="Calibri" w:hAnsi="Times New Roman" w:cs="Times New Roman"/>
          <w:b/>
          <w:noProof/>
          <w:sz w:val="24"/>
          <w:lang w:val="en-GB"/>
        </w:rPr>
      </w:pPr>
      <w:r w:rsidRPr="00B81FB9">
        <w:rPr>
          <w:rFonts w:ascii="Times New Roman" w:eastAsia="Calibri" w:hAnsi="Times New Roman" w:cs="Times New Roman"/>
          <w:b/>
          <w:noProof/>
          <w:sz w:val="24"/>
          <w:lang w:val="en-GB"/>
        </w:rPr>
        <w:t xml:space="preserve">Result: </w:t>
      </w:r>
      <w:r w:rsidRPr="00B81FB9">
        <w:rPr>
          <w:rFonts w:ascii="Times New Roman" w:eastAsia="Calibri" w:hAnsi="Times New Roman" w:cs="Times New Roman"/>
          <w:bCs/>
          <w:noProof/>
          <w:sz w:val="24"/>
          <w:lang w:val="en-GB"/>
        </w:rPr>
        <w:t>Of the 183 nAMD patients whose data were scanned, 125 were excluded because of missing data or using irregular micronutrition. Of the 58 patients who met the inclusion criteria, 27 were included in Group-1 and 31 in Group-2.</w:t>
      </w:r>
      <w:r w:rsidRPr="00B81FB9">
        <w:rPr>
          <w:rFonts w:ascii="Calibri" w:eastAsia="Calibri" w:hAnsi="Calibri" w:cs="Times New Roman"/>
          <w:bCs/>
          <w:noProof/>
          <w:lang w:val="en-GB"/>
        </w:rPr>
        <w:t xml:space="preserve"> </w:t>
      </w:r>
      <w:r w:rsidRPr="00B81FB9">
        <w:rPr>
          <w:rFonts w:ascii="Times New Roman" w:eastAsia="Calibri" w:hAnsi="Times New Roman" w:cs="Times New Roman"/>
          <w:bCs/>
          <w:noProof/>
          <w:sz w:val="24"/>
          <w:lang w:val="en-GB"/>
        </w:rPr>
        <w:t>BCVA and CMT values of the groups at the beginning of the pandemic are 0.69±0.72, 0.88±0.82, respectively (p=0.074); 333.6±102, 385.3±92.6 (p=0.074). BCVA and CMT values of the groups in the first examination after the pandemic were 0.74±0.76, 1.39±1.30 (p&lt;0.001); 327.9±140.5, 399.9±152.7 (p=0.062) respectively.</w:t>
      </w:r>
    </w:p>
    <w:p w14:paraId="47B90812" w14:textId="77777777" w:rsidR="00B81FB9" w:rsidRPr="00B81FB9" w:rsidRDefault="00B81FB9" w:rsidP="00B81FB9">
      <w:pPr>
        <w:spacing w:after="200" w:line="360" w:lineRule="auto"/>
        <w:jc w:val="both"/>
        <w:rPr>
          <w:rFonts w:ascii="Times New Roman" w:eastAsia="Calibri" w:hAnsi="Times New Roman" w:cs="Times New Roman"/>
          <w:bCs/>
          <w:noProof/>
          <w:sz w:val="24"/>
          <w:lang w:val="en-GB"/>
        </w:rPr>
      </w:pPr>
      <w:r w:rsidRPr="00B81FB9">
        <w:rPr>
          <w:rFonts w:ascii="Times New Roman" w:eastAsia="Calibri" w:hAnsi="Times New Roman" w:cs="Times New Roman"/>
          <w:b/>
          <w:noProof/>
          <w:sz w:val="24"/>
          <w:lang w:val="en-GB"/>
        </w:rPr>
        <w:t xml:space="preserve">Coclusion: </w:t>
      </w:r>
      <w:r w:rsidRPr="00B81FB9">
        <w:rPr>
          <w:rFonts w:ascii="Times New Roman" w:eastAsia="Calibri" w:hAnsi="Times New Roman" w:cs="Times New Roman"/>
          <w:bCs/>
          <w:noProof/>
          <w:sz w:val="24"/>
          <w:lang w:val="en-GB"/>
        </w:rPr>
        <w:t xml:space="preserve">As a result, it was observed that micronutrition treatment did not make a significant difference between the groups in terms of CMT, but we determined that it slowed the poor </w:t>
      </w:r>
      <w:r w:rsidRPr="00B81FB9">
        <w:rPr>
          <w:rFonts w:ascii="Times New Roman" w:eastAsia="Calibri" w:hAnsi="Times New Roman" w:cs="Times New Roman"/>
          <w:bCs/>
          <w:noProof/>
          <w:sz w:val="24"/>
          <w:lang w:val="en-GB"/>
        </w:rPr>
        <w:lastRenderedPageBreak/>
        <w:t>prognosis in terms of BCVA. We believe that micronutrition therapy may be a supportive treatment for intravitreal therapy in patients with nAMD. These findings highlight the importance of micronutrition intake for nAMD patients applying for treatment.</w:t>
      </w:r>
    </w:p>
    <w:p w14:paraId="5596A5DA" w14:textId="77777777" w:rsidR="00D55FF8" w:rsidRPr="00D55FF8" w:rsidRDefault="00D55FF8" w:rsidP="00D55FF8">
      <w:pPr>
        <w:tabs>
          <w:tab w:val="left" w:pos="2505"/>
        </w:tabs>
        <w:spacing w:after="200" w:line="360" w:lineRule="auto"/>
        <w:jc w:val="both"/>
        <w:rPr>
          <w:rFonts w:ascii="Times New Roman" w:eastAsia="Calibri" w:hAnsi="Times New Roman" w:cs="Times New Roman"/>
          <w:noProof/>
          <w:sz w:val="24"/>
        </w:rPr>
      </w:pPr>
    </w:p>
    <w:p w14:paraId="0F658F4A" w14:textId="77777777" w:rsidR="00D55FF8" w:rsidRPr="00D55FF8" w:rsidRDefault="00D55FF8" w:rsidP="00D55FF8">
      <w:pPr>
        <w:tabs>
          <w:tab w:val="left" w:pos="2505"/>
        </w:tabs>
        <w:spacing w:after="200" w:line="360" w:lineRule="auto"/>
        <w:jc w:val="both"/>
        <w:rPr>
          <w:rFonts w:ascii="Times New Roman" w:eastAsia="Calibri" w:hAnsi="Times New Roman" w:cs="Times New Roman"/>
          <w:noProof/>
          <w:sz w:val="24"/>
          <w:lang w:val="en-GB"/>
        </w:rPr>
      </w:pPr>
    </w:p>
    <w:p w14:paraId="1000FF63" w14:textId="1D2EA53A" w:rsidR="00D55FF8" w:rsidRPr="00D55FF8" w:rsidRDefault="00C7463F" w:rsidP="00D55FF8">
      <w:pPr>
        <w:tabs>
          <w:tab w:val="left" w:pos="2505"/>
        </w:tabs>
        <w:spacing w:after="200" w:line="360" w:lineRule="auto"/>
        <w:jc w:val="both"/>
        <w:rPr>
          <w:rFonts w:ascii="Times New Roman" w:eastAsia="Calibri" w:hAnsi="Times New Roman" w:cs="Times New Roman"/>
          <w:noProof/>
          <w:sz w:val="24"/>
          <w:lang w:val="en-GB"/>
        </w:rPr>
      </w:pPr>
      <w:r>
        <w:rPr>
          <w:rFonts w:ascii="Times New Roman" w:eastAsia="Calibri" w:hAnsi="Times New Roman" w:cs="Times New Roman"/>
          <w:noProof/>
          <w:sz w:val="24"/>
          <w:lang w:val="en-GB"/>
        </w:rPr>
        <w:t>Image</w:t>
      </w:r>
    </w:p>
    <w:p w14:paraId="6028BE93" w14:textId="77777777" w:rsidR="0050423A" w:rsidRPr="0050423A" w:rsidRDefault="0050423A" w:rsidP="0050423A">
      <w:pPr>
        <w:tabs>
          <w:tab w:val="left" w:pos="2505"/>
        </w:tabs>
        <w:spacing w:after="200" w:line="360" w:lineRule="auto"/>
        <w:jc w:val="both"/>
        <w:rPr>
          <w:rFonts w:ascii="Times New Roman" w:eastAsia="Calibri" w:hAnsi="Times New Roman" w:cs="Times New Roman"/>
          <w:noProof/>
          <w:sz w:val="24"/>
          <w:lang w:val="en-GB"/>
        </w:rPr>
      </w:pPr>
      <w:r w:rsidRPr="0050423A">
        <w:rPr>
          <w:rFonts w:ascii="Times New Roman" w:eastAsia="Calibri" w:hAnsi="Times New Roman" w:cs="Times New Roman"/>
          <w:noProof/>
          <w:sz w:val="24"/>
          <w:lang w:val="en-GB"/>
        </w:rPr>
        <w:drawing>
          <wp:inline distT="0" distB="0" distL="0" distR="0" wp14:anchorId="7A5F87B6" wp14:editId="3DE63AFE">
            <wp:extent cx="2873655" cy="2971800"/>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74534" cy="2972709"/>
                    </a:xfrm>
                    <a:prstGeom prst="rect">
                      <a:avLst/>
                    </a:prstGeom>
                  </pic:spPr>
                </pic:pic>
              </a:graphicData>
            </a:graphic>
          </wp:inline>
        </w:drawing>
      </w:r>
      <w:r w:rsidRPr="0050423A">
        <w:rPr>
          <w:rFonts w:ascii="Times New Roman" w:eastAsia="Calibri" w:hAnsi="Times New Roman" w:cs="Times New Roman"/>
          <w:noProof/>
          <w:sz w:val="24"/>
          <w:lang w:val="en-GB"/>
        </w:rPr>
        <w:drawing>
          <wp:inline distT="0" distB="0" distL="0" distR="0" wp14:anchorId="4471EF13" wp14:editId="61ED8CB5">
            <wp:extent cx="2863018" cy="2793596"/>
            <wp:effectExtent l="0" t="0" r="0" b="698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7373" cy="2817360"/>
                    </a:xfrm>
                    <a:prstGeom prst="rect">
                      <a:avLst/>
                    </a:prstGeom>
                    <a:noFill/>
                  </pic:spPr>
                </pic:pic>
              </a:graphicData>
            </a:graphic>
          </wp:inline>
        </w:drawing>
      </w:r>
      <w:r w:rsidRPr="0050423A">
        <w:rPr>
          <w:rFonts w:ascii="Times New Roman" w:eastAsia="Calibri" w:hAnsi="Times New Roman" w:cs="Times New Roman"/>
          <w:noProof/>
          <w:sz w:val="24"/>
          <w:lang w:val="en-GB"/>
        </w:rPr>
        <w:drawing>
          <wp:inline distT="0" distB="0" distL="0" distR="0" wp14:anchorId="713BEFAA" wp14:editId="23664CE3">
            <wp:extent cx="2838450" cy="285277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58803" cy="2873226"/>
                    </a:xfrm>
                    <a:prstGeom prst="rect">
                      <a:avLst/>
                    </a:prstGeom>
                  </pic:spPr>
                </pic:pic>
              </a:graphicData>
            </a:graphic>
          </wp:inline>
        </w:drawing>
      </w:r>
      <w:r w:rsidRPr="0050423A">
        <w:rPr>
          <w:rFonts w:ascii="Times New Roman" w:eastAsia="Calibri" w:hAnsi="Times New Roman" w:cs="Times New Roman"/>
          <w:noProof/>
          <w:sz w:val="24"/>
          <w:lang w:val="en-GB"/>
        </w:rPr>
        <w:drawing>
          <wp:inline distT="0" distB="0" distL="0" distR="0" wp14:anchorId="26A06B52" wp14:editId="7341EDDF">
            <wp:extent cx="2863398" cy="284035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1681" cy="2848571"/>
                    </a:xfrm>
                    <a:prstGeom prst="rect">
                      <a:avLst/>
                    </a:prstGeom>
                    <a:noFill/>
                  </pic:spPr>
                </pic:pic>
              </a:graphicData>
            </a:graphic>
          </wp:inline>
        </w:drawing>
      </w:r>
    </w:p>
    <w:p w14:paraId="1623E6F2" w14:textId="77777777" w:rsidR="0050423A" w:rsidRPr="0050423A" w:rsidRDefault="0050423A" w:rsidP="0050423A">
      <w:pPr>
        <w:spacing w:after="200" w:line="276" w:lineRule="auto"/>
        <w:rPr>
          <w:rFonts w:ascii="Times New Roman" w:eastAsia="Calibri" w:hAnsi="Times New Roman" w:cs="Times New Roman"/>
          <w:noProof/>
          <w:sz w:val="24"/>
          <w:lang w:val="en-GB"/>
        </w:rPr>
      </w:pPr>
      <w:r w:rsidRPr="0050423A">
        <w:rPr>
          <w:rFonts w:ascii="Times New Roman" w:eastAsia="Calibri" w:hAnsi="Times New Roman" w:cs="Times New Roman"/>
          <w:b/>
          <w:bCs/>
          <w:noProof/>
          <w:sz w:val="24"/>
          <w:lang w:val="en-GB"/>
        </w:rPr>
        <w:t>Figure 1.</w:t>
      </w:r>
      <w:r w:rsidRPr="0050423A">
        <w:rPr>
          <w:rFonts w:ascii="Times New Roman" w:eastAsia="Calibri" w:hAnsi="Times New Roman" w:cs="Times New Roman"/>
          <w:noProof/>
          <w:sz w:val="24"/>
          <w:lang w:val="en-GB"/>
        </w:rPr>
        <w:t xml:space="preserve"> Progression of the groups in terms of best corrected visual acuity and central macular thickness during the pandemic period</w:t>
      </w:r>
    </w:p>
    <w:p w14:paraId="17044DCC" w14:textId="50A13922" w:rsidR="00D55FF8" w:rsidRDefault="00203B00" w:rsidP="00D55FF8">
      <w:pPr>
        <w:tabs>
          <w:tab w:val="left" w:pos="2505"/>
        </w:tabs>
        <w:spacing w:after="200" w:line="360" w:lineRule="auto"/>
        <w:jc w:val="both"/>
        <w:rPr>
          <w:rFonts w:ascii="Times New Roman" w:eastAsia="Calibri" w:hAnsi="Times New Roman" w:cs="Times New Roman"/>
          <w:b/>
          <w:noProof/>
          <w:sz w:val="24"/>
        </w:rPr>
      </w:pPr>
      <w:r w:rsidRPr="00203B00">
        <w:rPr>
          <w:rFonts w:ascii="Times New Roman" w:eastAsia="Calibri" w:hAnsi="Times New Roman" w:cs="Times New Roman"/>
          <w:b/>
          <w:noProof/>
          <w:sz w:val="24"/>
        </w:rPr>
        <w:lastRenderedPageBreak/>
        <w:t>Recent Publications</w:t>
      </w:r>
    </w:p>
    <w:p w14:paraId="5C2500A9" w14:textId="77777777" w:rsidR="00425413" w:rsidRPr="00425413" w:rsidRDefault="00425413" w:rsidP="00425413">
      <w:pPr>
        <w:pStyle w:val="ListeParagraf"/>
        <w:numPr>
          <w:ilvl w:val="0"/>
          <w:numId w:val="1"/>
        </w:numPr>
        <w:rPr>
          <w:rFonts w:ascii="Times New Roman" w:eastAsia="Calibri" w:hAnsi="Times New Roman" w:cs="Times New Roman"/>
          <w:noProof/>
          <w:sz w:val="24"/>
          <w:lang w:val="en-GB"/>
        </w:rPr>
      </w:pPr>
      <w:r w:rsidRPr="00425413">
        <w:rPr>
          <w:rFonts w:ascii="Times New Roman" w:eastAsia="Calibri" w:hAnsi="Times New Roman" w:cs="Times New Roman"/>
          <w:noProof/>
          <w:sz w:val="24"/>
          <w:lang w:val="en-GB"/>
        </w:rPr>
        <w:t xml:space="preserve">Chong EW, Wong TY, Kreis AJ, et al. Dietary antioxidant and primary prevention of age-related macular degeneration: systemic review and meta-analysis.BMJ 2007;335(7623):775 </w:t>
      </w:r>
    </w:p>
    <w:p w14:paraId="335BA732" w14:textId="77777777" w:rsidR="00445E67" w:rsidRPr="00445E67" w:rsidRDefault="00445E67" w:rsidP="00445E67">
      <w:pPr>
        <w:pStyle w:val="ListeParagraf"/>
        <w:numPr>
          <w:ilvl w:val="0"/>
          <w:numId w:val="1"/>
        </w:numPr>
        <w:rPr>
          <w:rFonts w:ascii="Times New Roman" w:eastAsia="Calibri" w:hAnsi="Times New Roman" w:cs="Times New Roman"/>
          <w:noProof/>
          <w:sz w:val="24"/>
          <w:lang w:val="en-GB"/>
        </w:rPr>
      </w:pPr>
      <w:r w:rsidRPr="00445E67">
        <w:rPr>
          <w:rFonts w:ascii="Times New Roman" w:eastAsia="Calibri" w:hAnsi="Times New Roman" w:cs="Times New Roman"/>
          <w:noProof/>
          <w:sz w:val="24"/>
          <w:lang w:val="en-GB"/>
        </w:rPr>
        <w:t>Querques G, Benlian P, Chanu B, et al. Nutritional AMD Treatment Phase I (NAT-1): Feasibility of Oral DHA Supplementation in Age-Related Macular Degeneration. European Journal of Ophthalmology. 2009;19(1):100-106.</w:t>
      </w:r>
    </w:p>
    <w:p w14:paraId="695F3785" w14:textId="77777777" w:rsidR="003C1FA2" w:rsidRPr="003C1FA2" w:rsidRDefault="003C1FA2" w:rsidP="003C1FA2">
      <w:pPr>
        <w:pStyle w:val="ListeParagraf"/>
        <w:numPr>
          <w:ilvl w:val="0"/>
          <w:numId w:val="1"/>
        </w:numPr>
        <w:rPr>
          <w:rFonts w:ascii="Times New Roman" w:eastAsia="Calibri" w:hAnsi="Times New Roman" w:cs="Times New Roman"/>
          <w:noProof/>
          <w:sz w:val="24"/>
          <w:lang w:val="en-GB"/>
        </w:rPr>
      </w:pPr>
      <w:r w:rsidRPr="003C1FA2">
        <w:rPr>
          <w:rFonts w:ascii="Times New Roman" w:eastAsia="Calibri" w:hAnsi="Times New Roman" w:cs="Times New Roman"/>
          <w:noProof/>
          <w:sz w:val="24"/>
          <w:lang w:val="en-GB"/>
        </w:rPr>
        <w:t>Souied EH, Delcourt C, Querques G, Bassols A, Merle B, Zourdani A, et al. Nutritional AMD Treatment 2 Study Group. Oral docosahexaenoic acid in the prevention of exudative age-related macular degeneration: The Nutritional AMD Treatment 2 study. Ophthalmology. 2013; 120(8): 1619-31.</w:t>
      </w:r>
    </w:p>
    <w:p w14:paraId="01271416" w14:textId="77777777" w:rsidR="00B14FEE" w:rsidRPr="00B14FEE" w:rsidRDefault="00B14FEE" w:rsidP="00B14FEE">
      <w:pPr>
        <w:pStyle w:val="ListeParagraf"/>
        <w:numPr>
          <w:ilvl w:val="0"/>
          <w:numId w:val="1"/>
        </w:numPr>
        <w:rPr>
          <w:rFonts w:ascii="Times New Roman" w:eastAsia="Calibri" w:hAnsi="Times New Roman" w:cs="Times New Roman"/>
          <w:noProof/>
          <w:sz w:val="24"/>
          <w:lang w:val="en-GB"/>
        </w:rPr>
      </w:pPr>
      <w:r w:rsidRPr="00B14FEE">
        <w:rPr>
          <w:rFonts w:ascii="Times New Roman" w:eastAsia="Calibri" w:hAnsi="Times New Roman" w:cs="Times New Roman"/>
          <w:noProof/>
          <w:sz w:val="24"/>
          <w:lang w:val="en-GB"/>
        </w:rPr>
        <w:t xml:space="preserve">Dharamdasani Detaram H, Mitchell P, Russell J, Burlutsky G, Liew G, Gopinath B. Dietary zinc intake is associated with macular fluid in neovascular age-related macular degeneration. Clin Exp Ophthalmol. 2020 Jan;48(1):61-68. </w:t>
      </w:r>
    </w:p>
    <w:p w14:paraId="6C5F96B1" w14:textId="77777777" w:rsidR="00C0359E" w:rsidRPr="00C0359E" w:rsidRDefault="00C0359E" w:rsidP="00C0359E">
      <w:pPr>
        <w:pStyle w:val="ListeParagraf"/>
        <w:numPr>
          <w:ilvl w:val="0"/>
          <w:numId w:val="1"/>
        </w:numPr>
        <w:rPr>
          <w:rFonts w:ascii="Times New Roman" w:eastAsia="Calibri" w:hAnsi="Times New Roman" w:cs="Times New Roman"/>
          <w:noProof/>
          <w:sz w:val="24"/>
          <w:lang w:val="en-GB"/>
        </w:rPr>
      </w:pPr>
      <w:r w:rsidRPr="00C0359E">
        <w:rPr>
          <w:rFonts w:ascii="Times New Roman" w:eastAsia="Calibri" w:hAnsi="Times New Roman" w:cs="Times New Roman"/>
          <w:noProof/>
          <w:sz w:val="24"/>
          <w:lang w:val="en-GB"/>
        </w:rPr>
        <w:t xml:space="preserve">Dharamdasani Detaram H, Liew G, Russell J, Vu KV, Burlutsky G, Mitchell P, Gopinath B. Dietary antioxidants are associated with presence of intra- and sub-retinal fluid in neovascular age-related macular degeneration after 1 year. Acta Ophthalmol. 2020 Nov;98(7):e814-e819. </w:t>
      </w:r>
    </w:p>
    <w:p w14:paraId="1B294508" w14:textId="77777777" w:rsidR="00D55FF8" w:rsidRPr="00D55FF8" w:rsidRDefault="00D55FF8" w:rsidP="00D55FF8">
      <w:pPr>
        <w:tabs>
          <w:tab w:val="left" w:pos="2505"/>
        </w:tabs>
        <w:spacing w:after="200" w:line="360" w:lineRule="auto"/>
        <w:jc w:val="both"/>
        <w:rPr>
          <w:rFonts w:ascii="Times New Roman" w:eastAsia="Calibri" w:hAnsi="Times New Roman" w:cs="Times New Roman"/>
          <w:noProof/>
          <w:sz w:val="24"/>
          <w:lang w:val="en-GB"/>
        </w:rPr>
      </w:pPr>
    </w:p>
    <w:p w14:paraId="194A070B" w14:textId="6EC9AECA" w:rsidR="00D55FF8" w:rsidRDefault="004E1548" w:rsidP="00D55FF8">
      <w:pPr>
        <w:tabs>
          <w:tab w:val="left" w:pos="2505"/>
        </w:tabs>
        <w:spacing w:after="200" w:line="360" w:lineRule="auto"/>
        <w:jc w:val="both"/>
        <w:rPr>
          <w:rFonts w:ascii="Times New Roman" w:eastAsia="Calibri" w:hAnsi="Times New Roman" w:cs="Times New Roman"/>
          <w:b/>
          <w:bCs/>
          <w:noProof/>
          <w:sz w:val="44"/>
          <w:szCs w:val="44"/>
          <w:lang w:val="en-GB"/>
        </w:rPr>
      </w:pPr>
      <w:r>
        <w:rPr>
          <w:noProof/>
        </w:rPr>
        <w:drawing>
          <wp:inline distT="0" distB="0" distL="0" distR="0" wp14:anchorId="78FDA062" wp14:editId="69582289">
            <wp:extent cx="885825" cy="1181100"/>
            <wp:effectExtent l="0" t="0" r="9525" b="0"/>
            <wp:docPr id="5" name="Resim 5" descr="kişi, adam, kravat, duv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kişi, adam, kravat, duvar içeren bir resim&#10;&#10;Açıklama otomatik olarak oluşturuld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5825" cy="1181100"/>
                    </a:xfrm>
                    <a:prstGeom prst="rect">
                      <a:avLst/>
                    </a:prstGeom>
                    <a:noFill/>
                    <a:ln>
                      <a:noFill/>
                    </a:ln>
                  </pic:spPr>
                </pic:pic>
              </a:graphicData>
            </a:graphic>
          </wp:inline>
        </w:drawing>
      </w:r>
      <w:r w:rsidR="004A5865" w:rsidRPr="007718BA">
        <w:rPr>
          <w:rFonts w:ascii="Times New Roman" w:eastAsia="Calibri" w:hAnsi="Times New Roman" w:cs="Times New Roman"/>
          <w:b/>
          <w:bCs/>
          <w:noProof/>
          <w:sz w:val="44"/>
          <w:szCs w:val="44"/>
          <w:lang w:val="en-GB"/>
        </w:rPr>
        <w:t>Bio</w:t>
      </w:r>
      <w:r w:rsidR="007718BA" w:rsidRPr="007718BA">
        <w:rPr>
          <w:rFonts w:ascii="Times New Roman" w:eastAsia="Calibri" w:hAnsi="Times New Roman" w:cs="Times New Roman"/>
          <w:b/>
          <w:bCs/>
          <w:noProof/>
          <w:sz w:val="44"/>
          <w:szCs w:val="44"/>
          <w:lang w:val="en-GB"/>
        </w:rPr>
        <w:t>graphy</w:t>
      </w:r>
    </w:p>
    <w:p w14:paraId="2ADA27F1" w14:textId="389632D4" w:rsidR="00E81DC8" w:rsidRDefault="007718BA" w:rsidP="00D55FF8">
      <w:pPr>
        <w:tabs>
          <w:tab w:val="left" w:pos="2505"/>
        </w:tabs>
        <w:spacing w:after="200" w:line="360" w:lineRule="auto"/>
        <w:jc w:val="both"/>
        <w:rPr>
          <w:rFonts w:ascii="Times New Roman" w:eastAsia="Calibri" w:hAnsi="Times New Roman" w:cs="Times New Roman"/>
          <w:noProof/>
          <w:sz w:val="24"/>
          <w:lang w:val="en-GB"/>
        </w:rPr>
      </w:pPr>
      <w:r w:rsidRPr="007718BA">
        <w:rPr>
          <w:rFonts w:ascii="Times New Roman" w:eastAsia="Calibri" w:hAnsi="Times New Roman" w:cs="Times New Roman"/>
          <w:noProof/>
          <w:sz w:val="24"/>
          <w:lang w:val="en-GB"/>
        </w:rPr>
        <w:t>Erdinç Bozkurt tries to focus on retinal diseases such as macular posterior pole degenerations. He works hard to improve the diagnosis and treatment of these diseases. It has goals such as improving the well-being and prognosis of their diseases, especially in patients followed in the retina unit.</w:t>
      </w:r>
      <w:r w:rsidR="00E81DC8">
        <w:rPr>
          <w:rFonts w:ascii="Times New Roman" w:eastAsia="Calibri" w:hAnsi="Times New Roman" w:cs="Times New Roman"/>
          <w:noProof/>
          <w:sz w:val="24"/>
          <w:lang w:val="en-GB"/>
        </w:rPr>
        <w:t xml:space="preserve"> Email: </w:t>
      </w:r>
      <w:bookmarkStart w:id="0" w:name="_Hlk83360026"/>
      <w:r w:rsidR="002F6FF3">
        <w:rPr>
          <w:rFonts w:ascii="Times New Roman" w:eastAsia="Calibri" w:hAnsi="Times New Roman" w:cs="Times New Roman"/>
          <w:noProof/>
          <w:sz w:val="24"/>
          <w:lang w:val="en-GB"/>
        </w:rPr>
        <w:fldChar w:fldCharType="begin"/>
      </w:r>
      <w:r w:rsidR="002F6FF3">
        <w:rPr>
          <w:rFonts w:ascii="Times New Roman" w:eastAsia="Calibri" w:hAnsi="Times New Roman" w:cs="Times New Roman"/>
          <w:noProof/>
          <w:sz w:val="24"/>
          <w:lang w:val="en-GB"/>
        </w:rPr>
        <w:instrText xml:space="preserve"> HYPERLINK "mailto:drerdincbozkurt@hotmail.com" </w:instrText>
      </w:r>
      <w:r w:rsidR="002F6FF3">
        <w:rPr>
          <w:rFonts w:ascii="Times New Roman" w:eastAsia="Calibri" w:hAnsi="Times New Roman" w:cs="Times New Roman"/>
          <w:noProof/>
          <w:sz w:val="24"/>
          <w:lang w:val="en-GB"/>
        </w:rPr>
        <w:fldChar w:fldCharType="separate"/>
      </w:r>
      <w:r w:rsidR="002F6FF3" w:rsidRPr="00A02B03">
        <w:rPr>
          <w:rStyle w:val="Kpr"/>
          <w:rFonts w:ascii="Times New Roman" w:eastAsia="Calibri" w:hAnsi="Times New Roman" w:cs="Times New Roman"/>
          <w:noProof/>
          <w:sz w:val="24"/>
          <w:lang w:val="en-GB"/>
        </w:rPr>
        <w:t>drerdincbozkurt@hotmail.com</w:t>
      </w:r>
      <w:r w:rsidR="002F6FF3">
        <w:rPr>
          <w:rFonts w:ascii="Times New Roman" w:eastAsia="Calibri" w:hAnsi="Times New Roman" w:cs="Times New Roman"/>
          <w:noProof/>
          <w:sz w:val="24"/>
          <w:lang w:val="en-GB"/>
        </w:rPr>
        <w:fldChar w:fldCharType="end"/>
      </w:r>
    </w:p>
    <w:bookmarkEnd w:id="0"/>
    <w:p w14:paraId="3408ACCA" w14:textId="77777777" w:rsidR="002F6FF3" w:rsidRPr="002F6FF3" w:rsidRDefault="002F6FF3" w:rsidP="002F6FF3">
      <w:pPr>
        <w:tabs>
          <w:tab w:val="left" w:pos="2505"/>
        </w:tabs>
        <w:spacing w:after="200" w:line="360" w:lineRule="auto"/>
        <w:jc w:val="both"/>
        <w:rPr>
          <w:rFonts w:ascii="Times New Roman" w:eastAsia="Calibri" w:hAnsi="Times New Roman" w:cs="Times New Roman"/>
          <w:noProof/>
          <w:sz w:val="24"/>
          <w:lang w:val="en-GB"/>
        </w:rPr>
      </w:pPr>
      <w:r w:rsidRPr="002F6FF3">
        <w:rPr>
          <w:rFonts w:ascii="Times New Roman" w:eastAsia="Calibri" w:hAnsi="Times New Roman" w:cs="Times New Roman"/>
          <w:noProof/>
          <w:sz w:val="24"/>
          <w:lang w:val="en-GB"/>
        </w:rPr>
        <w:t xml:space="preserve">Presenting author details </w:t>
      </w:r>
    </w:p>
    <w:p w14:paraId="4BD98D23" w14:textId="011447BA" w:rsidR="002F6FF3" w:rsidRPr="002F6FF3" w:rsidRDefault="002F6FF3" w:rsidP="002F6FF3">
      <w:pPr>
        <w:tabs>
          <w:tab w:val="left" w:pos="2505"/>
        </w:tabs>
        <w:spacing w:after="200" w:line="360" w:lineRule="auto"/>
        <w:jc w:val="both"/>
        <w:rPr>
          <w:rFonts w:ascii="Times New Roman" w:eastAsia="Calibri" w:hAnsi="Times New Roman" w:cs="Times New Roman"/>
          <w:noProof/>
          <w:sz w:val="24"/>
          <w:lang w:val="en-GB"/>
        </w:rPr>
      </w:pPr>
      <w:r w:rsidRPr="002F6FF3">
        <w:rPr>
          <w:rFonts w:ascii="Times New Roman" w:eastAsia="Calibri" w:hAnsi="Times New Roman" w:cs="Times New Roman"/>
          <w:noProof/>
          <w:sz w:val="24"/>
          <w:lang w:val="en-GB"/>
        </w:rPr>
        <w:t xml:space="preserve">Full name: </w:t>
      </w:r>
      <w:r w:rsidR="0024650C">
        <w:rPr>
          <w:rFonts w:ascii="Times New Roman" w:eastAsia="Calibri" w:hAnsi="Times New Roman" w:cs="Times New Roman"/>
          <w:noProof/>
          <w:sz w:val="24"/>
          <w:lang w:val="en-GB"/>
        </w:rPr>
        <w:t>Erdinç Bozkurt</w:t>
      </w:r>
    </w:p>
    <w:p w14:paraId="740843B0" w14:textId="729F0886" w:rsidR="002F6FF3" w:rsidRPr="002F6FF3" w:rsidRDefault="002F6FF3" w:rsidP="002F6FF3">
      <w:pPr>
        <w:tabs>
          <w:tab w:val="left" w:pos="2505"/>
        </w:tabs>
        <w:spacing w:after="200" w:line="360" w:lineRule="auto"/>
        <w:jc w:val="both"/>
        <w:rPr>
          <w:rFonts w:ascii="Times New Roman" w:eastAsia="Calibri" w:hAnsi="Times New Roman" w:cs="Times New Roman"/>
          <w:noProof/>
          <w:sz w:val="24"/>
          <w:lang w:val="en-GB"/>
        </w:rPr>
      </w:pPr>
      <w:r w:rsidRPr="002F6FF3">
        <w:rPr>
          <w:rFonts w:ascii="Times New Roman" w:eastAsia="Calibri" w:hAnsi="Times New Roman" w:cs="Times New Roman"/>
          <w:noProof/>
          <w:sz w:val="24"/>
          <w:lang w:val="en-GB"/>
        </w:rPr>
        <w:t>Contact number:</w:t>
      </w:r>
      <w:r w:rsidR="0024650C">
        <w:rPr>
          <w:rFonts w:ascii="Times New Roman" w:eastAsia="Calibri" w:hAnsi="Times New Roman" w:cs="Times New Roman"/>
          <w:noProof/>
          <w:sz w:val="24"/>
          <w:lang w:val="en-GB"/>
        </w:rPr>
        <w:t xml:space="preserve"> +9005066157788</w:t>
      </w:r>
    </w:p>
    <w:p w14:paraId="3EAD5F25" w14:textId="44989A0B" w:rsidR="00D2081C" w:rsidRDefault="002F6FF3" w:rsidP="002F6FF3">
      <w:pPr>
        <w:tabs>
          <w:tab w:val="left" w:pos="2505"/>
        </w:tabs>
        <w:spacing w:after="200" w:line="360" w:lineRule="auto"/>
        <w:jc w:val="both"/>
        <w:rPr>
          <w:rFonts w:ascii="Times New Roman" w:eastAsia="Calibri" w:hAnsi="Times New Roman" w:cs="Times New Roman"/>
          <w:noProof/>
          <w:sz w:val="24"/>
          <w:lang w:val="en-GB"/>
        </w:rPr>
      </w:pPr>
      <w:r w:rsidRPr="002F6FF3">
        <w:rPr>
          <w:rFonts w:ascii="Times New Roman" w:eastAsia="Calibri" w:hAnsi="Times New Roman" w:cs="Times New Roman"/>
          <w:noProof/>
          <w:sz w:val="24"/>
          <w:lang w:val="en-GB"/>
        </w:rPr>
        <w:t xml:space="preserve">Mail id: </w:t>
      </w:r>
      <w:hyperlink r:id="rId10" w:history="1">
        <w:r w:rsidR="00D2081C" w:rsidRPr="00A02B03">
          <w:rPr>
            <w:rStyle w:val="Kpr"/>
            <w:rFonts w:ascii="Times New Roman" w:eastAsia="Calibri" w:hAnsi="Times New Roman" w:cs="Times New Roman"/>
            <w:noProof/>
            <w:sz w:val="24"/>
            <w:lang w:val="en-GB"/>
          </w:rPr>
          <w:t>drerdincbozkurt@hotmail.com</w:t>
        </w:r>
      </w:hyperlink>
    </w:p>
    <w:p w14:paraId="53972FD8" w14:textId="5A9BBE81" w:rsidR="0012018A" w:rsidRPr="00D2081C" w:rsidRDefault="002F6FF3" w:rsidP="00D2081C">
      <w:pPr>
        <w:tabs>
          <w:tab w:val="left" w:pos="2505"/>
        </w:tabs>
        <w:spacing w:after="200" w:line="360" w:lineRule="auto"/>
        <w:jc w:val="both"/>
        <w:rPr>
          <w:rFonts w:ascii="Times New Roman" w:eastAsia="Calibri" w:hAnsi="Times New Roman" w:cs="Times New Roman"/>
          <w:noProof/>
          <w:sz w:val="24"/>
          <w:lang w:val="en-GB"/>
        </w:rPr>
      </w:pPr>
      <w:r w:rsidRPr="002F6FF3">
        <w:rPr>
          <w:rFonts w:ascii="Times New Roman" w:eastAsia="Calibri" w:hAnsi="Times New Roman" w:cs="Times New Roman"/>
          <w:noProof/>
          <w:sz w:val="24"/>
          <w:lang w:val="en-GB"/>
        </w:rPr>
        <w:t>Category: Oral presentatio</w:t>
      </w:r>
      <w:r w:rsidR="00D2081C">
        <w:rPr>
          <w:rFonts w:ascii="Times New Roman" w:eastAsia="Calibri" w:hAnsi="Times New Roman" w:cs="Times New Roman"/>
          <w:noProof/>
          <w:sz w:val="24"/>
          <w:lang w:val="en-GB"/>
        </w:rPr>
        <w:t>n</w:t>
      </w:r>
    </w:p>
    <w:sectPr w:rsidR="0012018A" w:rsidRPr="00D208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12133A"/>
    <w:multiLevelType w:val="hybridMultilevel"/>
    <w:tmpl w:val="739C8AF4"/>
    <w:lvl w:ilvl="0" w:tplc="10CE268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8A"/>
    <w:rsid w:val="000B79A3"/>
    <w:rsid w:val="0012018A"/>
    <w:rsid w:val="001C3647"/>
    <w:rsid w:val="00203B00"/>
    <w:rsid w:val="0024650C"/>
    <w:rsid w:val="002F6FF3"/>
    <w:rsid w:val="00383E7F"/>
    <w:rsid w:val="003C1FA2"/>
    <w:rsid w:val="00425413"/>
    <w:rsid w:val="00445E67"/>
    <w:rsid w:val="004A5865"/>
    <w:rsid w:val="004E1548"/>
    <w:rsid w:val="0050423A"/>
    <w:rsid w:val="00616D84"/>
    <w:rsid w:val="007718BA"/>
    <w:rsid w:val="009E5BA1"/>
    <w:rsid w:val="00A27F3A"/>
    <w:rsid w:val="00B14FEE"/>
    <w:rsid w:val="00B26C6A"/>
    <w:rsid w:val="00B75026"/>
    <w:rsid w:val="00B81FB9"/>
    <w:rsid w:val="00C0359E"/>
    <w:rsid w:val="00C7463F"/>
    <w:rsid w:val="00D2081C"/>
    <w:rsid w:val="00D55FF8"/>
    <w:rsid w:val="00E81DC8"/>
    <w:rsid w:val="00FE39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2067"/>
  <w15:chartTrackingRefBased/>
  <w15:docId w15:val="{3A46019C-3894-4F71-9B38-0EEAB5ED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basedOn w:val="NormalTablo"/>
    <w:next w:val="TabloKlavuzu"/>
    <w:uiPriority w:val="39"/>
    <w:rsid w:val="00D55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D55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25413"/>
    <w:pPr>
      <w:ind w:left="720"/>
      <w:contextualSpacing/>
    </w:pPr>
  </w:style>
  <w:style w:type="character" w:styleId="Kpr">
    <w:name w:val="Hyperlink"/>
    <w:basedOn w:val="VarsaylanParagrafYazTipi"/>
    <w:uiPriority w:val="99"/>
    <w:unhideWhenUsed/>
    <w:rsid w:val="002F6FF3"/>
    <w:rPr>
      <w:color w:val="0563C1" w:themeColor="hyperlink"/>
      <w:u w:val="single"/>
    </w:rPr>
  </w:style>
  <w:style w:type="character" w:styleId="zmlenmeyenBahsetme">
    <w:name w:val="Unresolved Mention"/>
    <w:basedOn w:val="VarsaylanParagrafYazTipi"/>
    <w:uiPriority w:val="99"/>
    <w:semiHidden/>
    <w:unhideWhenUsed/>
    <w:rsid w:val="002F6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rerdincbozkurt@hotmail.com"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Erdinç</dc:creator>
  <cp:keywords/>
  <dc:description/>
  <cp:lastModifiedBy>Erdinç</cp:lastModifiedBy>
  <cp:revision>27</cp:revision>
  <dcterms:created xsi:type="dcterms:W3CDTF">2021-09-24T03:38:00Z</dcterms:created>
  <dcterms:modified xsi:type="dcterms:W3CDTF">2021-09-24T04:14:00Z</dcterms:modified>
</cp:coreProperties>
</file>