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Garamond" w:hAnsi="Garamond" w:eastAsia="Garamond"/>
          <w:b/>
          <w:color w:val="000000"/>
          <w:sz w:val="32"/>
          <w:szCs w:val="32"/>
          <w:lang w:val="en-IN"/>
        </w:rPr>
      </w:pPr>
      <w:r>
        <w:rPr>
          <w:rFonts w:hint="default" w:ascii="Garamond" w:hAnsi="Garamond" w:eastAsia="Garamond"/>
          <w:b/>
          <w:color w:val="000000"/>
          <w:sz w:val="32"/>
          <w:szCs w:val="32"/>
          <w:lang w:val="en-IN"/>
        </w:rPr>
        <w:t xml:space="preserve">Electromagnetic and Optical Absorption </w:t>
      </w:r>
      <w:r>
        <w:rPr>
          <w:rFonts w:hint="default" w:ascii="Garamond" w:hAnsi="Garamond" w:eastAsia="Garamond"/>
          <w:b/>
          <w:color w:val="000000"/>
          <w:sz w:val="32"/>
          <w:szCs w:val="32"/>
        </w:rPr>
        <w:t xml:space="preserve">Studies of </w:t>
      </w:r>
      <w:r>
        <w:rPr>
          <w:rFonts w:hint="default" w:ascii="Garamond" w:hAnsi="Garamond" w:eastAsia="Garamond"/>
          <w:b/>
          <w:color w:val="000000"/>
          <w:sz w:val="32"/>
          <w:szCs w:val="32"/>
          <w:lang w:val="en-IN"/>
        </w:rPr>
        <w:t>T</w:t>
      </w:r>
      <w:bookmarkStart w:id="0" w:name="_GoBack"/>
      <w:bookmarkEnd w:id="0"/>
      <w:r>
        <w:rPr>
          <w:rFonts w:hint="default" w:ascii="Garamond" w:hAnsi="Garamond" w:eastAsia="Garamond"/>
          <w:b/>
          <w:color w:val="000000"/>
          <w:sz w:val="32"/>
          <w:szCs w:val="32"/>
          <w:lang w:val="en-IN"/>
        </w:rPr>
        <w:t xml:space="preserve">ransition Metal </w:t>
      </w:r>
      <w:r>
        <w:rPr>
          <w:rFonts w:hint="default" w:ascii="Garamond" w:hAnsi="Garamond" w:eastAsia="Garamond"/>
          <w:b/>
          <w:color w:val="000000"/>
          <w:sz w:val="32"/>
          <w:szCs w:val="32"/>
        </w:rPr>
        <w:t>Doped BiFeO</w:t>
      </w:r>
      <w:r>
        <w:rPr>
          <w:rFonts w:hint="default" w:ascii="Garamond" w:hAnsi="Garamond" w:eastAsia="Garamond"/>
          <w:b/>
          <w:color w:val="000000"/>
          <w:sz w:val="32"/>
          <w:szCs w:val="32"/>
          <w:vertAlign w:val="subscript"/>
          <w:lang w:val="en-IN"/>
        </w:rPr>
        <w:t>3</w:t>
      </w:r>
      <w:r>
        <w:rPr>
          <w:rFonts w:hint="default" w:ascii="Garamond" w:hAnsi="Garamond" w:eastAsia="Garamond"/>
          <w:b/>
          <w:color w:val="000000"/>
          <w:sz w:val="32"/>
          <w:szCs w:val="32"/>
        </w:rPr>
        <w:t xml:space="preserve"> Nanop</w:t>
      </w:r>
      <w:r>
        <w:rPr>
          <w:rFonts w:hint="default" w:ascii="Garamond" w:hAnsi="Garamond" w:eastAsia="Garamond"/>
          <w:b/>
          <w:color w:val="000000"/>
          <w:sz w:val="32"/>
          <w:szCs w:val="32"/>
          <w:lang w:val="en-IN"/>
        </w:rPr>
        <w:t>owder for Optoelectronic de vice and retina treatment application</w:t>
      </w:r>
    </w:p>
    <w:p>
      <w:pPr>
        <w:jc w:val="right"/>
        <w:rPr>
          <w:rFonts w:hint="default" w:ascii="Times New Roman" w:hAnsi="Times New Roman" w:cs="Times New Roman"/>
          <w:b/>
          <w:bCs/>
          <w:sz w:val="28"/>
          <w:szCs w:val="28"/>
          <w:lang w:val="en-IN"/>
        </w:rPr>
      </w:pPr>
      <w:r>
        <w:rPr>
          <w:rFonts w:hint="default" w:ascii="Times New Roman" w:hAnsi="Times New Roman" w:cs="Times New Roman"/>
          <w:b/>
          <w:bCs/>
          <w:sz w:val="28"/>
          <w:szCs w:val="28"/>
          <w:lang w:val="en-IN"/>
        </w:rPr>
        <w:t xml:space="preserve">  </w:t>
      </w:r>
      <w:r>
        <w:rPr>
          <w:rFonts w:hint="default" w:ascii="Times New Roman" w:hAnsi="Times New Roman" w:cs="Times New Roman"/>
          <w:b/>
          <w:bCs/>
          <w:sz w:val="28"/>
          <w:szCs w:val="28"/>
          <w:lang w:val="en-IN"/>
        </w:rPr>
        <w:drawing>
          <wp:inline distT="0" distB="0" distL="114300" distR="114300">
            <wp:extent cx="781050" cy="1047750"/>
            <wp:effectExtent l="0" t="0" r="0" b="0"/>
            <wp:docPr id="2" name="Picture 2" descr="Photo editing_Cloud20161002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 editing_Cloud20161002_1-1"/>
                    <pic:cNvPicPr>
                      <a:picLocks noChangeAspect="1"/>
                    </pic:cNvPicPr>
                  </pic:nvPicPr>
                  <pic:blipFill>
                    <a:blip r:embed="rId6"/>
                    <a:stretch>
                      <a:fillRect/>
                    </a:stretch>
                  </pic:blipFill>
                  <pic:spPr>
                    <a:xfrm>
                      <a:off x="0" y="0"/>
                      <a:ext cx="781050" cy="1047750"/>
                    </a:xfrm>
                    <a:prstGeom prst="rect">
                      <a:avLst/>
                    </a:prstGeom>
                  </pic:spPr>
                </pic:pic>
              </a:graphicData>
            </a:graphic>
          </wp:inline>
        </w:drawing>
      </w:r>
    </w:p>
    <w:p>
      <w:pPr>
        <w:spacing w:after="0"/>
        <w:jc w:val="center"/>
        <w:rPr>
          <w:rFonts w:hint="default" w:ascii="Times New Roman" w:hAnsi="Times New Roman" w:cs="Times New Roman"/>
          <w:b/>
          <w:bCs/>
          <w:sz w:val="24"/>
          <w:szCs w:val="24"/>
          <w:lang w:val="en-IN"/>
        </w:rPr>
      </w:pPr>
    </w:p>
    <w:p>
      <w:pPr>
        <w:spacing w:after="0"/>
        <w:jc w:val="center"/>
        <w:rPr>
          <w:rFonts w:hint="default" w:ascii="Times New Roman" w:hAnsi="Times New Roman" w:cs="Times New Roman"/>
          <w:b/>
          <w:bCs/>
          <w:sz w:val="24"/>
          <w:szCs w:val="24"/>
          <w:lang w:val="en-IN"/>
        </w:rPr>
      </w:pPr>
      <w:r>
        <w:rPr>
          <w:rFonts w:hint="default" w:ascii="Times New Roman" w:hAnsi="Times New Roman" w:cs="Times New Roman"/>
          <w:b/>
          <w:bCs/>
          <w:sz w:val="24"/>
          <w:szCs w:val="24"/>
          <w:lang w:val="en-IN"/>
        </w:rPr>
        <w:t>Dr Atul Kumar Sinha</w:t>
      </w:r>
    </w:p>
    <w:p>
      <w:pPr>
        <w:spacing w:after="0"/>
        <w:jc w:val="center"/>
        <w:rPr>
          <w:rFonts w:ascii="Times New Roman" w:hAnsi="Times New Roman" w:cs="Times New Roman"/>
          <w:sz w:val="24"/>
          <w:szCs w:val="24"/>
        </w:rPr>
      </w:pPr>
      <w:r>
        <w:rPr>
          <w:rFonts w:hint="default" w:ascii="Times New Roman" w:hAnsi="Times New Roman" w:cs="Times New Roman"/>
          <w:b/>
          <w:bCs/>
          <w:sz w:val="24"/>
          <w:szCs w:val="24"/>
          <w:lang w:val="en-IN"/>
        </w:rPr>
        <w:t xml:space="preserve">Physics Department, </w:t>
      </w:r>
      <w:r>
        <w:rPr>
          <w:rFonts w:ascii="Times New Roman" w:hAnsi="Times New Roman" w:cs="Times New Roman"/>
          <w:sz w:val="24"/>
          <w:szCs w:val="24"/>
        </w:rPr>
        <w:t xml:space="preserve"> KIIT, Deemed to be University, Patia, Bhubaneswar-751024, India</w:t>
      </w:r>
    </w:p>
    <w:p>
      <w:pPr>
        <w:spacing w:after="0"/>
        <w:jc w:val="center"/>
        <w:rPr>
          <w:rFonts w:ascii="Times New Roman" w:hAnsi="Times New Roman" w:cs="Times New Roman"/>
          <w:sz w:val="24"/>
          <w:szCs w:val="24"/>
        </w:rPr>
      </w:pPr>
    </w:p>
    <w:p>
      <w:pPr>
        <w:jc w:val="left"/>
        <w:rPr>
          <w:rFonts w:hint="default" w:ascii="Times New Roman" w:hAnsi="Times New Roman" w:cs="Times New Roman"/>
          <w:sz w:val="20"/>
          <w:szCs w:val="20"/>
          <w:lang w:val="en-IN"/>
        </w:rPr>
      </w:pPr>
      <w:r>
        <w:rPr>
          <w:rFonts w:hint="default" w:ascii="Times New Roman" w:hAnsi="Times New Roman" w:cs="Times New Roman"/>
          <w:sz w:val="20"/>
          <w:szCs w:val="20"/>
          <w:lang w:val="en-IN"/>
        </w:rPr>
        <w:t>Abstract</w:t>
      </w:r>
    </w:p>
    <w:p>
      <w:pPr>
        <w:jc w:val="left"/>
        <w:rPr>
          <w:rFonts w:hint="default" w:ascii="Times New Roman" w:hAnsi="Times New Roman" w:cs="Times New Roman"/>
          <w:sz w:val="20"/>
          <w:szCs w:val="20"/>
          <w:lang w:val="en-IN"/>
        </w:rPr>
      </w:pPr>
    </w:p>
    <w:p>
      <w:pPr>
        <w:jc w:val="both"/>
        <w:rPr>
          <w:rFonts w:hint="default" w:ascii="Times New Roman" w:hAnsi="Times New Roman" w:cs="Times New Roman"/>
          <w:sz w:val="20"/>
          <w:szCs w:val="20"/>
          <w:lang w:val="en-IN"/>
        </w:rPr>
      </w:pPr>
      <w:r>
        <w:rPr>
          <w:rFonts w:hint="default" w:ascii="Times New Roman" w:hAnsi="Times New Roman" w:cs="Times New Roman"/>
          <w:sz w:val="20"/>
          <w:szCs w:val="20"/>
        </w:rPr>
        <w:t>BiFe</w:t>
      </w:r>
      <w:r>
        <w:rPr>
          <w:rFonts w:hint="default" w:ascii="Times New Roman" w:hAnsi="Times New Roman" w:cs="Times New Roman"/>
          <w:sz w:val="20"/>
          <w:szCs w:val="20"/>
          <w:vertAlign w:val="subscript"/>
        </w:rPr>
        <w:t>1-</w:t>
      </w:r>
      <w:r>
        <w:rPr>
          <w:rFonts w:hint="default" w:ascii="Times New Roman" w:hAnsi="Times New Roman" w:cs="Times New Roman"/>
          <w:i/>
          <w:iCs/>
          <w:sz w:val="20"/>
          <w:szCs w:val="20"/>
          <w:vertAlign w:val="subscript"/>
        </w:rPr>
        <w:t>x</w:t>
      </w:r>
      <w:r>
        <w:rPr>
          <w:rFonts w:hint="default" w:ascii="Times New Roman" w:hAnsi="Times New Roman" w:cs="Times New Roman"/>
          <w:sz w:val="20"/>
          <w:szCs w:val="20"/>
        </w:rPr>
        <w:t>Cr</w:t>
      </w:r>
      <w:r>
        <w:rPr>
          <w:rFonts w:hint="default" w:ascii="Times New Roman" w:hAnsi="Times New Roman" w:cs="Times New Roman"/>
          <w:i/>
          <w:iCs/>
          <w:sz w:val="20"/>
          <w:szCs w:val="20"/>
          <w:vertAlign w:val="subscript"/>
        </w:rPr>
        <w:t>x</w:t>
      </w:r>
      <w:r>
        <w:rPr>
          <w:rFonts w:hint="default" w:ascii="Times New Roman" w:hAnsi="Times New Roman" w:cs="Times New Roman"/>
          <w:sz w:val="20"/>
          <w:szCs w:val="20"/>
        </w:rPr>
        <w:t>O</w:t>
      </w:r>
      <w:r>
        <w:rPr>
          <w:rFonts w:hint="default" w:ascii="Times New Roman" w:hAnsi="Times New Roman" w:cs="Times New Roman"/>
          <w:sz w:val="20"/>
          <w:szCs w:val="20"/>
          <w:vertAlign w:val="subscript"/>
        </w:rPr>
        <w:t xml:space="preserve">3 </w:t>
      </w:r>
      <w:r>
        <w:rPr>
          <w:rFonts w:hint="default" w:ascii="Times New Roman" w:hAnsi="Times New Roman" w:cs="Times New Roman"/>
          <w:sz w:val="20"/>
          <w:szCs w:val="20"/>
        </w:rPr>
        <w:t>and BiFe</w:t>
      </w:r>
      <w:r>
        <w:rPr>
          <w:rFonts w:hint="default" w:ascii="Times New Roman" w:hAnsi="Times New Roman" w:cs="Times New Roman"/>
          <w:sz w:val="20"/>
          <w:szCs w:val="20"/>
          <w:vertAlign w:val="subscript"/>
        </w:rPr>
        <w:t>1-x</w:t>
      </w:r>
      <w:r>
        <w:rPr>
          <w:rFonts w:hint="default" w:ascii="Times New Roman" w:hAnsi="Times New Roman" w:cs="Times New Roman"/>
          <w:sz w:val="20"/>
          <w:szCs w:val="20"/>
        </w:rPr>
        <w:t>Co</w:t>
      </w:r>
      <w:r>
        <w:rPr>
          <w:rFonts w:hint="default" w:ascii="Times New Roman" w:hAnsi="Times New Roman" w:cs="Times New Roman"/>
          <w:sz w:val="20"/>
          <w:szCs w:val="20"/>
          <w:vertAlign w:val="subscript"/>
        </w:rPr>
        <w:t>x</w:t>
      </w:r>
      <w:r>
        <w:rPr>
          <w:rFonts w:hint="default" w:ascii="Times New Roman" w:hAnsi="Times New Roman" w:cs="Times New Roman"/>
          <w:sz w:val="20"/>
          <w:szCs w:val="20"/>
        </w:rPr>
        <w:t>O</w:t>
      </w:r>
      <w:r>
        <w:rPr>
          <w:rFonts w:hint="default" w:ascii="Times New Roman" w:hAnsi="Times New Roman" w:cs="Times New Roman"/>
          <w:sz w:val="20"/>
          <w:szCs w:val="20"/>
          <w:vertAlign w:val="subscript"/>
        </w:rPr>
        <w:t xml:space="preserve">3 </w:t>
      </w:r>
      <w:r>
        <w:rPr>
          <w:rFonts w:hint="default" w:ascii="Times New Roman" w:hAnsi="Times New Roman" w:cs="Times New Roman"/>
          <w:sz w:val="20"/>
          <w:szCs w:val="20"/>
        </w:rPr>
        <w:t>(</w:t>
      </w:r>
      <w:r>
        <w:rPr>
          <w:rFonts w:hint="default" w:ascii="Times New Roman" w:hAnsi="Times New Roman" w:cs="Times New Roman"/>
          <w:i/>
          <w:iCs/>
          <w:sz w:val="20"/>
          <w:szCs w:val="20"/>
        </w:rPr>
        <w:t>x</w:t>
      </w:r>
      <w:r>
        <w:rPr>
          <w:rFonts w:hint="default" w:ascii="Times New Roman" w:hAnsi="Times New Roman" w:cs="Times New Roman"/>
          <w:sz w:val="20"/>
          <w:szCs w:val="20"/>
        </w:rPr>
        <w:t xml:space="preserve"> = 0.00, 0.01, 0.03, 0.05 and 0.07) nanop</w:t>
      </w:r>
      <w:r>
        <w:rPr>
          <w:rFonts w:hint="default" w:ascii="Times New Roman" w:hAnsi="Times New Roman" w:cs="Times New Roman"/>
          <w:sz w:val="20"/>
          <w:szCs w:val="20"/>
          <w:lang w:val="en-IN"/>
        </w:rPr>
        <w:t>owder</w:t>
      </w:r>
      <w:r>
        <w:rPr>
          <w:rFonts w:hint="default" w:ascii="Times New Roman" w:hAnsi="Times New Roman" w:cs="Times New Roman"/>
          <w:sz w:val="20"/>
          <w:szCs w:val="20"/>
        </w:rPr>
        <w:t xml:space="preserve"> w</w:t>
      </w:r>
      <w:r>
        <w:rPr>
          <w:rFonts w:hint="default" w:ascii="Times New Roman" w:hAnsi="Times New Roman" w:cs="Times New Roman"/>
          <w:sz w:val="20"/>
          <w:szCs w:val="20"/>
          <w:lang w:val="en-IN"/>
        </w:rPr>
        <w:t>as</w:t>
      </w:r>
      <w:r>
        <w:rPr>
          <w:rFonts w:hint="default" w:ascii="Times New Roman" w:hAnsi="Times New Roman" w:cs="Times New Roman"/>
          <w:sz w:val="20"/>
          <w:szCs w:val="20"/>
        </w:rPr>
        <w:t xml:space="preserve"> synthesized by a facile sol-gel route. XRD confirmed the phase pure formation of </w:t>
      </w:r>
      <w:r>
        <w:rPr>
          <w:rFonts w:hint="default" w:ascii="Times New Roman" w:hAnsi="Times New Roman" w:cs="Times New Roman"/>
          <w:sz w:val="20"/>
          <w:szCs w:val="20"/>
          <w:lang w:val="en-IN"/>
        </w:rPr>
        <w:t>all cobalt doped BiFeO</w:t>
      </w:r>
      <w:r>
        <w:rPr>
          <w:rFonts w:hint="default" w:ascii="Times New Roman" w:hAnsi="Times New Roman" w:cs="Times New Roman"/>
          <w:sz w:val="20"/>
          <w:szCs w:val="20"/>
          <w:vertAlign w:val="subscript"/>
          <w:lang w:val="en-IN"/>
        </w:rPr>
        <w:t>3</w:t>
      </w:r>
      <w:r>
        <w:rPr>
          <w:rFonts w:hint="default" w:ascii="Times New Roman" w:hAnsi="Times New Roman" w:cs="Times New Roman"/>
          <w:sz w:val="20"/>
          <w:szCs w:val="20"/>
          <w:lang w:val="en-IN"/>
        </w:rPr>
        <w:t xml:space="preserve"> </w:t>
      </w:r>
      <w:r>
        <w:rPr>
          <w:rFonts w:hint="default" w:ascii="Times New Roman" w:hAnsi="Times New Roman" w:cs="Times New Roman"/>
          <w:sz w:val="20"/>
          <w:szCs w:val="20"/>
        </w:rPr>
        <w:t>samples. The crystallite sizes</w:t>
      </w:r>
      <w:r>
        <w:rPr>
          <w:rFonts w:hint="default" w:ascii="Times New Roman" w:hAnsi="Times New Roman" w:cs="Times New Roman"/>
          <w:sz w:val="20"/>
          <w:szCs w:val="20"/>
          <w:lang w:val="en-IN"/>
        </w:rPr>
        <w:t xml:space="preserve"> as determined by Scherrer equation were found to be 46 nm, 50 nm, 48 nm, 45 nm and 43 nm for 0%, 1%, 3%, 5% and 7% Cobalt doped BFO respectively. </w:t>
      </w:r>
    </w:p>
    <w:p>
      <w:pPr>
        <w:jc w:val="both"/>
        <w:rPr>
          <w:rFonts w:hint="default" w:ascii="Times New Roman" w:hAnsi="Times New Roman" w:cs="Times New Roman"/>
          <w:color w:val="auto"/>
          <w:sz w:val="20"/>
          <w:szCs w:val="20"/>
        </w:rPr>
      </w:pPr>
      <w:r>
        <w:rPr>
          <w:rFonts w:hint="default" w:ascii="Times New Roman" w:hAnsi="Times New Roman" w:cs="Times New Roman"/>
          <w:sz w:val="20"/>
          <w:szCs w:val="20"/>
          <w:lang w:eastAsia="en-IN"/>
        </w:rPr>
        <w:t>The magnetic hysteresis loop</w:t>
      </w:r>
      <w:r>
        <w:rPr>
          <w:rFonts w:hint="default" w:ascii="Times New Roman" w:hAnsi="Times New Roman" w:cs="Times New Roman"/>
          <w:sz w:val="20"/>
          <w:szCs w:val="20"/>
          <w:lang w:val="en-US" w:eastAsia="en-IN"/>
        </w:rPr>
        <w:t xml:space="preserve"> was</w:t>
      </w:r>
      <w:r>
        <w:rPr>
          <w:rFonts w:hint="default" w:ascii="Times New Roman" w:hAnsi="Times New Roman" w:cs="Times New Roman"/>
          <w:sz w:val="20"/>
          <w:szCs w:val="20"/>
          <w:lang w:eastAsia="en-IN"/>
        </w:rPr>
        <w:t xml:space="preserve"> measured at room temperature possesses a weak ferromagnetic behavior of the sample and the magnetization was enhanced with the increase in Cr and Co doping concentration.</w:t>
      </w:r>
      <w:r>
        <w:rPr>
          <w:rFonts w:hint="default" w:ascii="Times New Roman" w:hAnsi="Times New Roman" w:cs="Times New Roman"/>
          <w:color w:val="000000"/>
          <w:sz w:val="20"/>
          <w:szCs w:val="20"/>
        </w:rPr>
        <w:t xml:space="preserve"> Saturation magnetization increases and coercive field decreases with the increase in Cr and Co doping concentration</w:t>
      </w:r>
      <w:r>
        <w:rPr>
          <w:rFonts w:hint="default" w:ascii="Times New Roman" w:hAnsi="Times New Roman" w:cs="Times New Roman"/>
          <w:sz w:val="20"/>
          <w:szCs w:val="20"/>
          <w:lang w:eastAsia="en-IN"/>
        </w:rPr>
        <w:t>.</w:t>
      </w:r>
      <w:r>
        <w:rPr>
          <w:rFonts w:hint="default" w:ascii="Times New Roman" w:hAnsi="Times New Roman" w:cs="Times New Roman"/>
          <w:sz w:val="20"/>
          <w:szCs w:val="20"/>
          <w:lang w:val="en-US" w:eastAsia="en-IN"/>
        </w:rPr>
        <w:t xml:space="preserve"> </w:t>
      </w:r>
      <w:r>
        <w:rPr>
          <w:rFonts w:hint="default" w:ascii="Times New Roman" w:hAnsi="Times New Roman" w:cs="Times New Roman"/>
          <w:color w:val="auto"/>
          <w:sz w:val="20"/>
          <w:szCs w:val="20"/>
        </w:rPr>
        <w:t xml:space="preserve">Mössbauer study confirmed that the oxidation state of Fe in Cr and Co doped </w:t>
      </w:r>
      <w:r>
        <w:rPr>
          <w:rFonts w:hint="default" w:ascii="Times New Roman" w:hAnsi="Times New Roman" w:cs="Times New Roman"/>
          <w:color w:val="auto"/>
          <w:sz w:val="20"/>
          <w:szCs w:val="20"/>
          <w:lang w:val="en-IN"/>
        </w:rPr>
        <w:t>BFO</w:t>
      </w:r>
      <w:r>
        <w:rPr>
          <w:rFonts w:hint="default" w:ascii="Times New Roman" w:hAnsi="Times New Roman" w:cs="Times New Roman"/>
          <w:color w:val="auto"/>
          <w:sz w:val="20"/>
          <w:szCs w:val="20"/>
        </w:rPr>
        <w:t xml:space="preserve"> samples </w:t>
      </w:r>
      <w:r>
        <w:rPr>
          <w:rFonts w:hint="default" w:ascii="Times New Roman" w:hAnsi="Times New Roman" w:cs="Times New Roman"/>
          <w:color w:val="auto"/>
          <w:sz w:val="20"/>
          <w:szCs w:val="20"/>
          <w:lang w:val="en-IN"/>
        </w:rPr>
        <w:t>to be</w:t>
      </w:r>
      <w:r>
        <w:rPr>
          <w:rFonts w:hint="default" w:ascii="Times New Roman" w:hAnsi="Times New Roman" w:cs="Times New Roman"/>
          <w:color w:val="auto"/>
          <w:sz w:val="20"/>
          <w:szCs w:val="20"/>
        </w:rPr>
        <w:t xml:space="preserve"> +3 high spin states. Hyperfine magnetic field found to be decreased with the increase in Co doping concentration whereas hyperfine magnetic field found to be increased with the increase in Cr doping concentration</w:t>
      </w:r>
    </w:p>
    <w:p>
      <w:pPr>
        <w:jc w:val="both"/>
        <w:rPr>
          <w:rFonts w:hint="default" w:ascii="Times New Roman" w:hAnsi="Times New Roman" w:cs="Times New Roman"/>
          <w:color w:val="auto"/>
          <w:sz w:val="20"/>
          <w:szCs w:val="20"/>
          <w:lang w:val="en-IN"/>
        </w:rPr>
      </w:pPr>
      <w:r>
        <w:rPr>
          <w:rFonts w:hint="default" w:ascii="Times New Roman" w:hAnsi="Times New Roman" w:cs="Times New Roman"/>
          <w:color w:val="auto"/>
          <w:sz w:val="20"/>
          <w:szCs w:val="20"/>
          <w:lang w:val="en-IN"/>
        </w:rPr>
        <w:t>Cr doped BFO nanoparticle shows good ferroelectric hysteresis loop whereas Co doped BFOshows poor ferroelectric hysteresis loop. Leakage current density parameter is reduced by substituting Cr and Co ion at Fe site of Bismuth ferrite nanoparticles. Dielectric constant and loss was decreased by increasing frequency.Absorption spectra is performed by UV Visible spectroscopy in the visible region spectra. Band gap energy is calculated by Tauc Equation and also by first derivative of Absorption spectra. Band Gap energy of transition metal doped bismuth ferrite nanopowder lies between 2.07 - 2.42 eV. Band gap is enhanced by substituting Chromium and cobalt at Fe site of Bismuth ferrite. These synthesized materials are quite suitable for information storage, optoelectronic, spintronics, memory storage, magnetic sensors, FERAM, digital identity card, micro chip, magnetic resonance imaging (MRI) device application and retina treatment of human eye by using photosensitive cell in dark and bright light conditions..</w:t>
      </w:r>
    </w:p>
    <w:p>
      <w:pPr>
        <w:jc w:val="left"/>
        <w:rPr>
          <w:rFonts w:hint="default" w:ascii="Times New Roman" w:hAnsi="Times New Roman" w:cs="Times New Roman"/>
          <w:sz w:val="20"/>
          <w:szCs w:val="20"/>
          <w:lang w:val="en-IN"/>
        </w:rPr>
      </w:pPr>
    </w:p>
    <w:p>
      <w:pPr>
        <w:jc w:val="both"/>
        <w:rPr>
          <w:b/>
        </w:rPr>
      </w:pPr>
      <w:r>
        <w:rPr>
          <w:b/>
        </w:rPr>
        <w:t>Biography</w:t>
      </w:r>
    </w:p>
    <w:p/>
    <w:p>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val="0"/>
          <w:bCs w:val="0"/>
          <w:sz w:val="20"/>
          <w:szCs w:val="20"/>
          <w:lang w:val="en-IN"/>
        </w:rPr>
      </w:pPr>
      <w:r>
        <w:rPr>
          <w:rFonts w:hint="default"/>
          <w:lang w:val="en-IN"/>
        </w:rPr>
        <w:t>I</w:t>
      </w:r>
      <w:r>
        <w:rPr>
          <w:rFonts w:hint="default"/>
          <w:sz w:val="20"/>
          <w:szCs w:val="20"/>
          <w:lang w:val="en-IN"/>
        </w:rPr>
        <w:t xml:space="preserve"> have completed B.Tech in Electronics and Instrumentation Engineering from BITM Santiniketan, West Bengal, India in the year 2010,M.Tech in Nanoscience and Nanotechnology from BIT Mesra Main campus, Ranchi, India in the year 2014 and PhD in Experimental Condensed Matter Physics from Kalinga Institute of Industrial Technology Bhubaneshwar, India was awarded in November 2020. I have 6 published paper in reputed Journal such as Solid State Sciences, Results in Physics, AIP Conference Proceedings, Material Today Proceeding and IEEE Xplore. I have 1 book publication entitled  </w:t>
      </w:r>
      <w:r>
        <w:rPr>
          <w:rFonts w:hint="default" w:ascii="Times New Roman" w:hAnsi="Times New Roman" w:cs="Times New Roman"/>
          <w:b w:val="0"/>
          <w:bCs w:val="0"/>
          <w:sz w:val="20"/>
          <w:szCs w:val="20"/>
          <w:lang w:val="en-IN"/>
        </w:rPr>
        <w:t>Fe</w:t>
      </w:r>
      <w:r>
        <w:rPr>
          <w:rFonts w:hint="default" w:ascii="Times New Roman" w:hAnsi="Times New Roman" w:cs="Times New Roman"/>
          <w:b w:val="0"/>
          <w:bCs w:val="0"/>
          <w:sz w:val="20"/>
          <w:szCs w:val="20"/>
          <w:vertAlign w:val="superscript"/>
          <w:lang w:val="en-IN"/>
        </w:rPr>
        <w:t>57</w:t>
      </w:r>
      <w:r>
        <w:rPr>
          <w:rFonts w:hint="default" w:ascii="Times New Roman" w:hAnsi="Times New Roman" w:cs="Times New Roman"/>
          <w:b w:val="0"/>
          <w:bCs w:val="0"/>
          <w:sz w:val="20"/>
          <w:szCs w:val="20"/>
          <w:vertAlign w:val="baseline"/>
          <w:lang w:val="en-IN"/>
        </w:rPr>
        <w:t xml:space="preserve"> Mossbauer Spectroscopy Study of Transition Metal Doped Bismuth Ferrite Multiferroic Nanoparticles, Published in Lambert Academic Publishing, Germany, 26 November 2020.</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lang w:val="en-IN"/>
        </w:rPr>
      </w:pPr>
    </w:p>
    <w:p>
      <w:pPr>
        <w:jc w:val="both"/>
        <w:rPr>
          <w:rFonts w:hint="default"/>
          <w:lang w:val="en-IN"/>
        </w:rPr>
      </w:pPr>
    </w:p>
    <w:p>
      <w:pPr>
        <w:autoSpaceDE w:val="0"/>
        <w:autoSpaceDN w:val="0"/>
        <w:adjustRightInd w:val="0"/>
        <w:rPr>
          <w:rFonts w:hint="default"/>
          <w:b/>
          <w:lang w:val="en-IN"/>
        </w:rPr>
      </w:pPr>
      <w:r>
        <w:rPr>
          <w:b/>
          <w:lang w:val="en-NZ"/>
        </w:rPr>
        <w:t xml:space="preserve">Presenting author details </w:t>
      </w:r>
      <w:r>
        <w:rPr>
          <w:b/>
          <w:lang w:val="en-NZ"/>
        </w:rPr>
        <w:br w:type="textWrapping"/>
      </w:r>
      <w:r>
        <w:rPr>
          <w:lang w:val="en-NZ"/>
        </w:rPr>
        <w:t>Full name:</w:t>
      </w:r>
      <w:r>
        <w:rPr>
          <w:rFonts w:hint="default"/>
          <w:lang w:val="en-IN"/>
        </w:rPr>
        <w:t xml:space="preserve"> Dr Atul Kumar Sinha</w:t>
      </w:r>
      <w:r>
        <w:rPr>
          <w:lang w:val="en-NZ"/>
        </w:rPr>
        <w:t xml:space="preserve"> </w:t>
      </w:r>
      <w:r>
        <w:rPr>
          <w:lang w:val="en-NZ"/>
        </w:rPr>
        <w:br w:type="textWrapping"/>
      </w:r>
      <w:r>
        <w:rPr>
          <w:lang w:val="en-NZ"/>
        </w:rPr>
        <w:t>Contact number:</w:t>
      </w:r>
      <w:r>
        <w:rPr>
          <w:rFonts w:hint="default"/>
          <w:lang w:val="en-IN"/>
        </w:rPr>
        <w:t xml:space="preserve"> - +91 - 7004309357</w:t>
      </w:r>
      <w:r>
        <w:rPr>
          <w:lang w:val="en-NZ"/>
        </w:rPr>
        <w:br w:type="textWrapping"/>
      </w:r>
      <w:r>
        <w:rPr>
          <w:lang w:val="en-NZ"/>
        </w:rPr>
        <w:t>Twitter account</w:t>
      </w:r>
      <w:r>
        <w:rPr>
          <w:rFonts w:hint="default"/>
          <w:lang w:val="en-IN"/>
        </w:rPr>
        <w:t xml:space="preserve"> </w:t>
      </w:r>
      <w:r>
        <w:rPr>
          <w:lang w:val="en-NZ"/>
        </w:rPr>
        <w:t>:</w:t>
      </w:r>
      <w:r>
        <w:rPr>
          <w:rFonts w:hint="default"/>
          <w:lang w:val="en-IN"/>
        </w:rPr>
        <w:t xml:space="preserve"> AtulKum18625233</w:t>
      </w:r>
      <w:r>
        <w:rPr>
          <w:lang w:val="en-NZ"/>
        </w:rPr>
        <w:br w:type="textWrapping"/>
      </w:r>
      <w:r>
        <w:rPr>
          <w:lang w:val="en-NZ"/>
        </w:rPr>
        <w:t>Linked In account:</w:t>
      </w:r>
      <w:r>
        <w:rPr>
          <w:rFonts w:hint="default"/>
          <w:lang w:val="en-IN"/>
        </w:rPr>
        <w:t xml:space="preserve"> Atul Sinha (</w:t>
      </w:r>
      <w:r>
        <w:rPr>
          <w:rFonts w:ascii="Segoe UI" w:hAnsi="Segoe UI" w:eastAsia="Segoe UI" w:cs="Segoe UI"/>
          <w:b/>
          <w:i w:val="0"/>
          <w:caps w:val="0"/>
          <w:spacing w:val="0"/>
          <w:sz w:val="21"/>
          <w:szCs w:val="21"/>
          <w:u w:val="single"/>
          <w:shd w:val="clear" w:fill="FFFFFF"/>
          <w:vertAlign w:val="baseline"/>
        </w:rPr>
        <w:fldChar w:fldCharType="begin"/>
      </w:r>
      <w:r>
        <w:rPr>
          <w:rFonts w:ascii="Segoe UI" w:hAnsi="Segoe UI" w:eastAsia="Segoe UI" w:cs="Segoe UI"/>
          <w:b/>
          <w:i w:val="0"/>
          <w:caps w:val="0"/>
          <w:spacing w:val="0"/>
          <w:sz w:val="21"/>
          <w:szCs w:val="21"/>
          <w:u w:val="single"/>
          <w:shd w:val="clear" w:fill="FFFFFF"/>
          <w:vertAlign w:val="baseline"/>
        </w:rPr>
        <w:instrText xml:space="preserve"> HYPERLINK "https://www.linkedin.com/in/atul-sinha-4291a921?lipi=urn:li:page:d_flagship3_profile_view_base_contact_details;PEAGWgjxSXiljKnOZsncGQ==" </w:instrText>
      </w:r>
      <w:r>
        <w:rPr>
          <w:rFonts w:ascii="Segoe UI" w:hAnsi="Segoe UI" w:eastAsia="Segoe UI" w:cs="Segoe UI"/>
          <w:b/>
          <w:i w:val="0"/>
          <w:caps w:val="0"/>
          <w:spacing w:val="0"/>
          <w:sz w:val="21"/>
          <w:szCs w:val="21"/>
          <w:u w:val="single"/>
          <w:shd w:val="clear" w:fill="FFFFFF"/>
          <w:vertAlign w:val="baseline"/>
        </w:rPr>
        <w:fldChar w:fldCharType="separate"/>
      </w:r>
      <w:r>
        <w:rPr>
          <w:rStyle w:val="4"/>
          <w:rFonts w:hint="default" w:ascii="Segoe UI" w:hAnsi="Segoe UI" w:eastAsia="Segoe UI" w:cs="Segoe UI"/>
          <w:b/>
          <w:i w:val="0"/>
          <w:caps w:val="0"/>
          <w:spacing w:val="0"/>
          <w:sz w:val="21"/>
          <w:szCs w:val="21"/>
          <w:u w:val="single"/>
          <w:shd w:val="clear" w:fill="FFFFFF"/>
          <w:vertAlign w:val="baseline"/>
        </w:rPr>
        <w:t>linkedin.com/in/atul-sinha-4291a921</w:t>
      </w:r>
      <w:r>
        <w:rPr>
          <w:rFonts w:hint="default" w:ascii="Segoe UI" w:hAnsi="Segoe UI" w:eastAsia="Segoe UI" w:cs="Segoe UI"/>
          <w:b/>
          <w:i w:val="0"/>
          <w:caps w:val="0"/>
          <w:spacing w:val="0"/>
          <w:sz w:val="21"/>
          <w:szCs w:val="21"/>
          <w:u w:val="single"/>
          <w:shd w:val="clear" w:fill="FFFFFF"/>
          <w:vertAlign w:val="baseline"/>
        </w:rPr>
        <w:fldChar w:fldCharType="end"/>
      </w:r>
      <w:r>
        <w:rPr>
          <w:rFonts w:hint="default"/>
          <w:lang w:val="en-IN"/>
        </w:rPr>
        <w:t>)</w:t>
      </w:r>
    </w:p>
    <w:p>
      <w:pPr>
        <w:autoSpaceDE w:val="0"/>
        <w:autoSpaceDN w:val="0"/>
        <w:adjustRightInd w:val="0"/>
        <w:rPr>
          <w:lang w:val="en-NZ"/>
        </w:rPr>
      </w:pPr>
      <w:r>
        <w:rPr>
          <w:lang w:val="en-NZ"/>
        </w:rPr>
        <w:t>Session name/ number:</w:t>
      </w:r>
      <w:r>
        <w:rPr>
          <w:rFonts w:hint="default"/>
          <w:lang w:val="en-IN"/>
        </w:rPr>
        <w:t xml:space="preserve"> Optical technologies and Laser Science in Ophthalmology</w:t>
      </w:r>
      <w:r>
        <w:rPr>
          <w:lang w:val="en-NZ"/>
        </w:rPr>
        <w:br w:type="textWrapping"/>
      </w:r>
      <w:r>
        <w:rPr>
          <w:lang w:val="en-NZ"/>
        </w:rPr>
        <w:t>Category: (Oral presentation/ Poster presentation)</w:t>
      </w:r>
      <w:r>
        <w:rPr>
          <w:rFonts w:hint="default"/>
          <w:lang w:val="en-IN"/>
        </w:rPr>
        <w:t xml:space="preserve"> - Oral Presentation</w:t>
      </w:r>
      <w:r>
        <w:rPr>
          <w:lang w:val="en-NZ"/>
        </w:rPr>
        <w:br w:type="textWrapping"/>
      </w:r>
    </w:p>
    <w:p>
      <w:pPr>
        <w:jc w:val="both"/>
        <w:rPr>
          <w:rFonts w:hint="default"/>
          <w:lang w:val="en-IN"/>
        </w:rPr>
      </w:pPr>
    </w:p>
    <w:p>
      <w:pPr>
        <w:jc w:val="both"/>
        <w:rPr>
          <w:rFonts w:hint="default" w:ascii="Times New Roman" w:hAnsi="Times New Roman" w:cs="Times New Roman"/>
          <w:color w:val="FF0000"/>
          <w:sz w:val="20"/>
          <w:szCs w:val="20"/>
          <w:lang w:val="en-IN"/>
        </w:rPr>
      </w:pPr>
    </w:p>
    <w:p>
      <w:pPr>
        <w:jc w:val="left"/>
        <w:rPr>
          <w:rFonts w:hint="default"/>
          <w:i/>
          <w:iCs/>
          <w:color w:val="000000"/>
          <w:lang w:val="en-US"/>
        </w:rPr>
      </w:pPr>
    </w:p>
    <w:p>
      <w:pPr>
        <w:jc w:val="left"/>
        <w:rPr>
          <w:rFonts w:hint="default" w:ascii="Times New Roman" w:hAnsi="Times New Roman" w:cs="Times New Roman"/>
          <w:sz w:val="20"/>
          <w:szCs w:val="20"/>
          <w:lang w:val="en-IN"/>
        </w:rPr>
        <w:sectPr>
          <w:pgSz w:w="11906" w:h="17338"/>
          <w:pgMar w:top="2282" w:right="758" w:bottom="1440" w:left="1437" w:header="720" w:footer="720" w:gutter="0"/>
          <w:lnNumType w:countBy="0" w:distance="360"/>
          <w:cols w:space="425" w:num="1"/>
          <w:docGrid w:linePitch="360" w:charSpace="0"/>
        </w:sectPr>
      </w:pPr>
    </w:p>
    <w:p>
      <w:pPr>
        <w:jc w:val="left"/>
        <w:rPr>
          <w:rFonts w:hint="default"/>
          <w:i/>
          <w:iCs/>
          <w:color w:val="000000"/>
          <w:lang w:val="en-US"/>
        </w:rPr>
      </w:pPr>
    </w:p>
    <w:p>
      <w:pPr>
        <w:spacing w:after="0"/>
        <w:jc w:val="left"/>
        <w:rPr>
          <w:rFonts w:ascii="Times New Roman" w:hAnsi="Times New Roman" w:cs="Times New Roman"/>
          <w:sz w:val="24"/>
          <w:szCs w:val="24"/>
        </w:rPr>
      </w:pPr>
    </w:p>
    <w:p>
      <w:pPr>
        <w:rPr>
          <w:rFonts w:hint="default" w:ascii="Garamond" w:hAnsi="Garamond" w:eastAsia="Garamond"/>
          <w:b/>
          <w:color w:val="000000"/>
          <w:sz w:val="32"/>
          <w:szCs w:val="32"/>
          <w:lang w:val="en-IN"/>
        </w:rPr>
      </w:pPr>
    </w:p>
    <w:p>
      <w:pPr>
        <w:jc w:val="right"/>
        <w:rPr>
          <w:rFonts w:hint="default" w:ascii="Times New Roman" w:hAnsi="Times New Roman" w:cs="Times New Roman"/>
          <w:b/>
          <w:bCs/>
          <w:sz w:val="28"/>
          <w:szCs w:val="28"/>
          <w:lang w:val="en-IN"/>
        </w:rPr>
      </w:pPr>
    </w:p>
    <w:p>
      <w:pPr>
        <w:jc w:val="right"/>
        <w:rPr>
          <w:rFonts w:hint="default" w:ascii="Times New Roman" w:hAnsi="Times New Roman" w:cs="Times New Roman"/>
          <w:b/>
          <w:bCs/>
          <w:sz w:val="28"/>
          <w:szCs w:val="28"/>
          <w:lang w:val="en-IN"/>
        </w:rPr>
      </w:pPr>
    </w:p>
    <w:p>
      <w:pPr>
        <w:jc w:val="right"/>
        <w:rPr>
          <w:rFonts w:hint="default" w:ascii="Times New Roman" w:hAnsi="Times New Roman" w:cs="Times New Roman"/>
          <w:b/>
          <w:bCs/>
          <w:sz w:val="28"/>
          <w:szCs w:val="28"/>
          <w:lang w:val="en-IN"/>
        </w:rPr>
        <w:sectPr>
          <w:pgSz w:w="11906" w:h="17338"/>
          <w:pgMar w:top="2282" w:right="758" w:bottom="1440" w:left="1437" w:header="720" w:footer="720" w:gutter="0"/>
          <w:lnNumType w:countBy="0" w:distance="360"/>
          <w:cols w:space="425" w:num="1"/>
          <w:docGrid w:linePitch="360" w:charSpace="0"/>
        </w:sectPr>
      </w:pPr>
    </w:p>
    <w:p/>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aramond">
    <w:panose1 w:val="02020404030301010803"/>
    <w:charset w:val="00"/>
    <w:family w:val="swiss"/>
    <w:pitch w:val="default"/>
    <w:sig w:usb0="00000287" w:usb1="00000000" w:usb2="00000000" w:usb3="00000000" w:csb0="0000009F" w:csb1="DFD7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66817"/>
    <w:rsid w:val="24C74E6A"/>
    <w:rsid w:val="7DB66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Office_11.2.0.10176_F1E327BC-269C-435d-A152-05C5408002CA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2021-09-18T11:03:00Z</dcterms:created>
  <dc:creator>deepak</dc:creator>
  <cp:lastModifiedBy>deepak</cp:lastModifiedBy>
  <dcterms:modified xsi:type="dcterms:W3CDTF">2021-09-18T11:28:46Z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