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0E5D5" w14:textId="512CF0CE" w:rsidR="009D41A0" w:rsidRPr="007F4CEC" w:rsidRDefault="009D41A0" w:rsidP="007F4CEC">
      <w:pPr>
        <w:pStyle w:val="NormalWeb"/>
        <w:spacing w:before="0" w:beforeAutospacing="0" w:after="0" w:afterAutospacing="0" w:line="360" w:lineRule="auto"/>
        <w:jc w:val="center"/>
        <w:rPr>
          <w:rStyle w:val="Strong"/>
          <w:color w:val="0E101A"/>
          <w:sz w:val="28"/>
          <w:szCs w:val="28"/>
        </w:rPr>
      </w:pPr>
      <w:bookmarkStart w:id="0" w:name="_Hlk81920699"/>
      <w:r w:rsidRPr="007F4CEC">
        <w:rPr>
          <w:rStyle w:val="Strong"/>
          <w:color w:val="0E101A"/>
          <w:sz w:val="28"/>
          <w:szCs w:val="28"/>
        </w:rPr>
        <w:t>Decision Fatigue in Nurses in the Covid</w:t>
      </w:r>
      <w:r w:rsidR="007E7A62" w:rsidRPr="007F4CEC">
        <w:rPr>
          <w:rStyle w:val="Strong"/>
          <w:color w:val="0E101A"/>
          <w:sz w:val="28"/>
          <w:szCs w:val="28"/>
        </w:rPr>
        <w:t>-</w:t>
      </w:r>
      <w:r w:rsidRPr="007F4CEC">
        <w:rPr>
          <w:rStyle w:val="Strong"/>
          <w:color w:val="0E101A"/>
          <w:sz w:val="28"/>
          <w:szCs w:val="28"/>
        </w:rPr>
        <w:t>19 Pandemic</w:t>
      </w:r>
      <w:r w:rsidR="005D50D0" w:rsidRPr="007F4CEC">
        <w:rPr>
          <w:rStyle w:val="Strong"/>
          <w:color w:val="0E101A"/>
          <w:sz w:val="28"/>
          <w:szCs w:val="28"/>
        </w:rPr>
        <w:t xml:space="preserve">: </w:t>
      </w:r>
      <w:r w:rsidR="007F4CEC" w:rsidRPr="007F4CEC">
        <w:rPr>
          <w:rStyle w:val="Strong"/>
          <w:color w:val="0E101A"/>
          <w:sz w:val="28"/>
          <w:szCs w:val="28"/>
        </w:rPr>
        <w:t>A</w:t>
      </w:r>
      <w:r w:rsidR="005D50D0" w:rsidRPr="007F4CEC">
        <w:rPr>
          <w:rStyle w:val="Strong"/>
          <w:color w:val="0E101A"/>
          <w:sz w:val="28"/>
          <w:szCs w:val="28"/>
        </w:rPr>
        <w:t xml:space="preserve"> Commentary</w:t>
      </w:r>
    </w:p>
    <w:p w14:paraId="5364DB1E" w14:textId="77777777" w:rsidR="007E7A62" w:rsidRDefault="007E7A62" w:rsidP="007F4CEC">
      <w:pPr>
        <w:pStyle w:val="NormalWeb"/>
        <w:spacing w:before="0" w:beforeAutospacing="0" w:after="0" w:afterAutospacing="0" w:line="360" w:lineRule="auto"/>
        <w:jc w:val="both"/>
        <w:rPr>
          <w:rStyle w:val="Strong"/>
          <w:color w:val="0E101A"/>
        </w:rPr>
      </w:pPr>
    </w:p>
    <w:bookmarkEnd w:id="0"/>
    <w:p w14:paraId="55AF262D" w14:textId="30ED5255" w:rsidR="009D41A0" w:rsidRDefault="009D41A0" w:rsidP="00623E1B">
      <w:pPr>
        <w:pStyle w:val="NormalWeb"/>
        <w:spacing w:before="0" w:beforeAutospacing="0" w:after="0" w:afterAutospacing="0" w:line="360" w:lineRule="auto"/>
        <w:jc w:val="both"/>
        <w:rPr>
          <w:color w:val="0E101A"/>
        </w:rPr>
      </w:pPr>
      <w:r>
        <w:rPr>
          <w:color w:val="0E101A"/>
        </w:rPr>
        <w:t>COVID-19 is the third most prevalent disease in the 21st century and a serious threat to public health worldwide. Since the outbreak of the disease in December 2019, the responsibilities of nurses in providing health services in all roles of education, care, counseling, support, management, and leadership have increased (</w:t>
      </w:r>
      <w:r w:rsidR="00623E1B" w:rsidRPr="00C51494">
        <w:rPr>
          <w:rFonts w:asciiTheme="majorBidi" w:hAnsiTheme="majorBidi" w:cstheme="majorBidi"/>
          <w:color w:val="222222"/>
          <w:shd w:val="clear" w:color="auto" w:fill="FFFFFF"/>
        </w:rPr>
        <w:t>Dai</w:t>
      </w:r>
      <w:r w:rsidR="00623E1B">
        <w:rPr>
          <w:rFonts w:asciiTheme="majorBidi" w:hAnsiTheme="majorBidi" w:cstheme="majorBidi"/>
          <w:color w:val="222222"/>
          <w:shd w:val="clear" w:color="auto" w:fill="FFFFFF"/>
        </w:rPr>
        <w:t xml:space="preserve"> et al., 2020</w:t>
      </w:r>
      <w:r>
        <w:rPr>
          <w:color w:val="0E101A"/>
        </w:rPr>
        <w:t xml:space="preserve">). One of the most important challenges for nurses in the </w:t>
      </w:r>
      <w:r w:rsidR="007E7A62">
        <w:rPr>
          <w:color w:val="0E101A"/>
        </w:rPr>
        <w:t>Covid-19</w:t>
      </w:r>
      <w:r>
        <w:rPr>
          <w:color w:val="0E101A"/>
        </w:rPr>
        <w:t xml:space="preserve"> pandemic is to work in high-risk conditions, wear personal protective equipment, lack of sufficient and accurate information, lack of experienced nurses, unconventional work schedule, forced transfer between wards, inadequate organizational support, reduced rest time, increased working hours as well as the closure of kindergartens, and problems in managing the home. The main consequence of these critical conditions has been an increase in the physical and mental workload of nurses, especially nurses working in intensive care units, which can affect clinical decision-making and ultimately the quality of care provided to patients (</w:t>
      </w:r>
      <w:r w:rsidR="00623E1B" w:rsidRPr="00B16701">
        <w:rPr>
          <w:rFonts w:asciiTheme="majorBidi" w:hAnsiTheme="majorBidi" w:cstheme="majorBidi"/>
        </w:rPr>
        <w:t>Joshi</w:t>
      </w:r>
      <w:r w:rsidR="00623E1B">
        <w:rPr>
          <w:rFonts w:asciiTheme="majorBidi" w:hAnsiTheme="majorBidi" w:cstheme="majorBidi"/>
        </w:rPr>
        <w:t>, 2020</w:t>
      </w:r>
      <w:r>
        <w:rPr>
          <w:color w:val="0E101A"/>
        </w:rPr>
        <w:t>).</w:t>
      </w:r>
    </w:p>
    <w:p w14:paraId="3B587938" w14:textId="3B9040A9" w:rsidR="009D41A0" w:rsidRDefault="009D41A0" w:rsidP="00F1574B">
      <w:pPr>
        <w:pStyle w:val="NormalWeb"/>
        <w:spacing w:before="0" w:beforeAutospacing="0" w:after="0" w:afterAutospacing="0" w:line="360" w:lineRule="auto"/>
        <w:jc w:val="both"/>
        <w:rPr>
          <w:color w:val="0E101A"/>
        </w:rPr>
      </w:pPr>
      <w:r>
        <w:rPr>
          <w:color w:val="0E101A"/>
        </w:rPr>
        <w:t xml:space="preserve">In the </w:t>
      </w:r>
      <w:r w:rsidR="007E7A62">
        <w:rPr>
          <w:color w:val="0E101A"/>
        </w:rPr>
        <w:t>Covid-19</w:t>
      </w:r>
      <w:r>
        <w:rPr>
          <w:color w:val="0E101A"/>
        </w:rPr>
        <w:t xml:space="preserve"> pandemic, clinical management and decision-making and its consequences are very important (</w:t>
      </w:r>
      <w:r w:rsidR="00623E1B" w:rsidRPr="0092155A">
        <w:rPr>
          <w:rFonts w:asciiTheme="majorBidi" w:hAnsiTheme="majorBidi" w:cstheme="majorBidi"/>
          <w:highlight w:val="white"/>
        </w:rPr>
        <w:t>Allan</w:t>
      </w:r>
      <w:r w:rsidR="00623E1B">
        <w:rPr>
          <w:rFonts w:asciiTheme="majorBidi" w:hAnsiTheme="majorBidi" w:cstheme="majorBidi"/>
        </w:rPr>
        <w:t xml:space="preserve"> et al., 2019</w:t>
      </w:r>
      <w:r>
        <w:rPr>
          <w:color w:val="0E101A"/>
        </w:rPr>
        <w:t>). Nurses face situations that can affect their decision-making due to role strain, emotional, psychological, social, behavioral, and spiritual trauma, and post-traumatic stress caused by the Corona pandemic (</w:t>
      </w:r>
      <w:r w:rsidR="00623E1B" w:rsidRPr="0092155A">
        <w:rPr>
          <w:rFonts w:asciiTheme="majorBidi" w:hAnsiTheme="majorBidi" w:cstheme="majorBidi"/>
        </w:rPr>
        <w:t>McKenna</w:t>
      </w:r>
      <w:r w:rsidR="00623E1B">
        <w:rPr>
          <w:rFonts w:asciiTheme="majorBidi" w:hAnsiTheme="majorBidi" w:cstheme="majorBidi"/>
        </w:rPr>
        <w:t>, 2020</w:t>
      </w:r>
      <w:r>
        <w:rPr>
          <w:color w:val="0E101A"/>
        </w:rPr>
        <w:t>). In a critical pandemic situation, due to the need for multiple decisions, access to and use of important information is difficult and nurses' cognitive function is challenged to make appropriate decisions, these conditions lead to decision bias, which is called Decision Fatigue (</w:t>
      </w:r>
      <w:r w:rsidR="00623E1B" w:rsidRPr="0092155A">
        <w:rPr>
          <w:rFonts w:asciiTheme="majorBidi" w:hAnsiTheme="majorBidi" w:cstheme="majorBidi"/>
          <w:highlight w:val="white"/>
        </w:rPr>
        <w:t>Allan</w:t>
      </w:r>
      <w:r w:rsidR="00623E1B">
        <w:rPr>
          <w:rFonts w:asciiTheme="majorBidi" w:hAnsiTheme="majorBidi" w:cstheme="majorBidi"/>
        </w:rPr>
        <w:t xml:space="preserve"> et al., 2019</w:t>
      </w:r>
      <w:r>
        <w:rPr>
          <w:color w:val="0E101A"/>
        </w:rPr>
        <w:t>). Decision Fatigue is a phenomenon in which the store of mental resources for decision making is depleted and the quality of decisions made is reduced (</w:t>
      </w:r>
      <w:r w:rsidR="00F1574B" w:rsidRPr="0092155A">
        <w:rPr>
          <w:rFonts w:asciiTheme="majorBidi" w:hAnsiTheme="majorBidi" w:cstheme="majorBidi"/>
          <w:highlight w:val="white"/>
        </w:rPr>
        <w:t>Hirshleifer</w:t>
      </w:r>
      <w:r w:rsidR="00F1574B">
        <w:rPr>
          <w:rFonts w:asciiTheme="majorBidi" w:hAnsiTheme="majorBidi" w:cstheme="majorBidi"/>
        </w:rPr>
        <w:t xml:space="preserve"> et al., 2019</w:t>
      </w:r>
      <w:r>
        <w:rPr>
          <w:color w:val="0E101A"/>
        </w:rPr>
        <w:t>). Decision Fatigue is the inability of a person to regulate and experience emotions (</w:t>
      </w:r>
      <w:r w:rsidR="00F1574B" w:rsidRPr="009C390C">
        <w:rPr>
          <w:rFonts w:asciiTheme="majorBidi" w:hAnsiTheme="majorBidi" w:cstheme="majorBidi"/>
        </w:rPr>
        <w:t>Pignatiello</w:t>
      </w:r>
      <w:r w:rsidR="00F1574B">
        <w:rPr>
          <w:rFonts w:asciiTheme="majorBidi" w:hAnsiTheme="majorBidi" w:cstheme="majorBidi"/>
        </w:rPr>
        <w:t xml:space="preserve"> et al., 2020</w:t>
      </w:r>
      <w:r>
        <w:rPr>
          <w:color w:val="0E101A"/>
        </w:rPr>
        <w:t>). The concept of Decision Fatigue is derived from the model of self-control empowerment of Roy Baumeister et al., Who have described this concept as the result of "ego depletion". They found that self-control is typically impaired when the cognitive resources available for decision-making are scarce. Therefore, Decision Fatigue temporarily reduces the quality of subsequent decisions (</w:t>
      </w:r>
      <w:r w:rsidR="00F1574B">
        <w:rPr>
          <w:rFonts w:asciiTheme="majorBidi" w:hAnsiTheme="majorBidi" w:cstheme="majorBidi"/>
        </w:rPr>
        <w:t xml:space="preserve">Sjåstad </w:t>
      </w:r>
      <w:r w:rsidR="00F1574B" w:rsidRPr="009C390C">
        <w:rPr>
          <w:rFonts w:asciiTheme="majorBidi" w:hAnsiTheme="majorBidi" w:cstheme="majorBidi"/>
        </w:rPr>
        <w:t>&amp; Baumeister</w:t>
      </w:r>
      <w:r w:rsidR="00F1574B">
        <w:rPr>
          <w:rFonts w:asciiTheme="majorBidi" w:hAnsiTheme="majorBidi" w:cstheme="majorBidi"/>
        </w:rPr>
        <w:t xml:space="preserve">, 2018; </w:t>
      </w:r>
      <w:r w:rsidR="00F1574B" w:rsidRPr="009C390C">
        <w:rPr>
          <w:rFonts w:asciiTheme="majorBidi" w:hAnsiTheme="majorBidi" w:cstheme="majorBidi"/>
        </w:rPr>
        <w:t>Bertrams</w:t>
      </w:r>
      <w:r w:rsidR="00F1574B">
        <w:rPr>
          <w:rFonts w:asciiTheme="majorBidi" w:hAnsiTheme="majorBidi" w:cstheme="majorBidi"/>
        </w:rPr>
        <w:t xml:space="preserve"> et al., </w:t>
      </w:r>
      <w:r w:rsidR="00E03F48">
        <w:rPr>
          <w:rFonts w:asciiTheme="majorBidi" w:hAnsiTheme="majorBidi" w:cstheme="majorBidi"/>
        </w:rPr>
        <w:t>2015)</w:t>
      </w:r>
      <w:r>
        <w:rPr>
          <w:color w:val="0E101A"/>
        </w:rPr>
        <w:t>.</w:t>
      </w:r>
    </w:p>
    <w:p w14:paraId="4C2F3043" w14:textId="4896BDB5" w:rsidR="009D41A0" w:rsidRDefault="009D41A0" w:rsidP="00F1574B">
      <w:pPr>
        <w:pStyle w:val="NormalWeb"/>
        <w:spacing w:before="0" w:beforeAutospacing="0" w:after="0" w:afterAutospacing="0" w:line="360" w:lineRule="auto"/>
        <w:jc w:val="both"/>
        <w:rPr>
          <w:color w:val="0E101A"/>
        </w:rPr>
      </w:pPr>
      <w:r>
        <w:rPr>
          <w:color w:val="0E101A"/>
        </w:rPr>
        <w:t xml:space="preserve">Decision Fatigue in nursing practice occurs when a person makes an inappropriate decision for a patient due to fatigue from numerous previous decisions and lack of response to basic needs. In a </w:t>
      </w:r>
      <w:r>
        <w:rPr>
          <w:color w:val="0E101A"/>
        </w:rPr>
        <w:lastRenderedPageBreak/>
        <w:t>study, the prevalence of Decision Fatigue in nurses was reported to be 16-36% (</w:t>
      </w:r>
      <w:r w:rsidR="00F1574B" w:rsidRPr="009C390C">
        <w:rPr>
          <w:rFonts w:asciiTheme="majorBidi" w:hAnsiTheme="majorBidi" w:cstheme="majorBidi"/>
          <w:highlight w:val="white"/>
        </w:rPr>
        <w:t>Vergano</w:t>
      </w:r>
      <w:r w:rsidR="00F1574B">
        <w:rPr>
          <w:rFonts w:asciiTheme="majorBidi" w:hAnsiTheme="majorBidi" w:cstheme="majorBidi"/>
        </w:rPr>
        <w:t xml:space="preserve"> et al., 2020</w:t>
      </w:r>
      <w:r>
        <w:rPr>
          <w:color w:val="0E101A"/>
        </w:rPr>
        <w:t>). Scott et al. Reported that the prevalence of Decision Fatigue in nurses working in intensive care units was 29% due to physical fatigue, shift work of more than 12 hours, and dissatisfaction with clinical decisions (</w:t>
      </w:r>
      <w:r w:rsidR="00F1574B" w:rsidRPr="00AC3854">
        <w:rPr>
          <w:rFonts w:asciiTheme="majorBidi" w:hAnsiTheme="majorBidi" w:cstheme="majorBidi"/>
          <w:color w:val="222222"/>
          <w:shd w:val="clear" w:color="auto" w:fill="FFFFFF"/>
        </w:rPr>
        <w:t>Scott</w:t>
      </w:r>
      <w:r w:rsidR="00F1574B">
        <w:rPr>
          <w:rFonts w:asciiTheme="majorBidi" w:hAnsiTheme="majorBidi" w:cstheme="majorBidi"/>
          <w:color w:val="222222"/>
          <w:shd w:val="clear" w:color="auto" w:fill="FFFFFF"/>
        </w:rPr>
        <w:t xml:space="preserve"> et al., 2014</w:t>
      </w:r>
      <w:r>
        <w:rPr>
          <w:color w:val="0E101A"/>
        </w:rPr>
        <w:t>). Other factors associated with Decision Fatigue include chronic exposure to stress and complexity of work (</w:t>
      </w:r>
      <w:r w:rsidR="00F1574B" w:rsidRPr="00F1574B">
        <w:rPr>
          <w:rFonts w:asciiTheme="majorBidi" w:hAnsiTheme="majorBidi" w:cstheme="majorBidi"/>
        </w:rPr>
        <w:t>Shirey</w:t>
      </w:r>
      <w:r w:rsidR="00F1574B">
        <w:rPr>
          <w:rFonts w:asciiTheme="majorBidi" w:hAnsiTheme="majorBidi" w:cstheme="majorBidi"/>
        </w:rPr>
        <w:t xml:space="preserve"> et al., 2013</w:t>
      </w:r>
      <w:r>
        <w:rPr>
          <w:color w:val="0E101A"/>
        </w:rPr>
        <w:t>), low knowledge and experience for independent decision making and lack of direct supervision of managers, reduced problem-solving ability, and retention of clinical information (</w:t>
      </w:r>
      <w:r w:rsidR="00F1574B" w:rsidRPr="00BC55D1">
        <w:rPr>
          <w:rFonts w:asciiTheme="majorBidi" w:hAnsiTheme="majorBidi" w:cstheme="majorBidi"/>
          <w:highlight w:val="white"/>
        </w:rPr>
        <w:t>Oto</w:t>
      </w:r>
      <w:r w:rsidR="00F1574B">
        <w:rPr>
          <w:rFonts w:asciiTheme="majorBidi" w:hAnsiTheme="majorBidi" w:cstheme="majorBidi"/>
        </w:rPr>
        <w:t>, 2012</w:t>
      </w:r>
      <w:r>
        <w:rPr>
          <w:color w:val="0E101A"/>
        </w:rPr>
        <w:t>). In addition, problems and obstacles in decision making such as clinical settings laws, physician and nurse participation in decision making, lack of support from nursing managers and lack of teamwork, high workload, and lack of time are other related factors (</w:t>
      </w:r>
      <w:r w:rsidR="00F1574B" w:rsidRPr="00BC55D1">
        <w:rPr>
          <w:rFonts w:asciiTheme="majorBidi" w:hAnsiTheme="majorBidi" w:cstheme="majorBidi"/>
        </w:rPr>
        <w:t>Mosavinasab</w:t>
      </w:r>
      <w:r w:rsidR="00F1574B">
        <w:rPr>
          <w:rFonts w:asciiTheme="majorBidi" w:hAnsiTheme="majorBidi" w:cstheme="majorBidi"/>
        </w:rPr>
        <w:t xml:space="preserve"> et al., 2015</w:t>
      </w:r>
      <w:r>
        <w:rPr>
          <w:color w:val="0E101A"/>
        </w:rPr>
        <w:t>).</w:t>
      </w:r>
    </w:p>
    <w:p w14:paraId="495B48CA" w14:textId="0DD43673" w:rsidR="009D41A0" w:rsidRDefault="009D41A0" w:rsidP="00F1574B">
      <w:pPr>
        <w:pStyle w:val="NormalWeb"/>
        <w:spacing w:before="0" w:beforeAutospacing="0" w:after="0" w:afterAutospacing="0" w:line="360" w:lineRule="auto"/>
        <w:jc w:val="both"/>
        <w:rPr>
          <w:color w:val="0E101A"/>
        </w:rPr>
      </w:pPr>
      <w:r>
        <w:rPr>
          <w:color w:val="0E101A"/>
        </w:rPr>
        <w:t>Decision Fatigue has negative consequences. Allan et al. Found that frequent contact with emergency nurses for health care reduced the quality of decision-making by 5.5% and reduced the effectiveness of care due to the need for different decision-making (</w:t>
      </w:r>
      <w:r w:rsidR="00F1574B" w:rsidRPr="0092155A">
        <w:rPr>
          <w:rFonts w:asciiTheme="majorBidi" w:hAnsiTheme="majorBidi" w:cstheme="majorBidi"/>
          <w:highlight w:val="white"/>
        </w:rPr>
        <w:t>Allan</w:t>
      </w:r>
      <w:r w:rsidR="00F1574B">
        <w:rPr>
          <w:rFonts w:asciiTheme="majorBidi" w:hAnsiTheme="majorBidi" w:cstheme="majorBidi"/>
        </w:rPr>
        <w:t xml:space="preserve"> et al., 2019</w:t>
      </w:r>
      <w:r>
        <w:rPr>
          <w:color w:val="0E101A"/>
        </w:rPr>
        <w:t>). In complex and critical situations, nurses often face doubts and uncertainties and postpone their decisions (</w:t>
      </w:r>
      <w:r w:rsidR="00F1574B" w:rsidRPr="00BC55D1">
        <w:rPr>
          <w:rFonts w:asciiTheme="majorBidi" w:hAnsiTheme="majorBidi" w:cstheme="majorBidi"/>
        </w:rPr>
        <w:t>Persson</w:t>
      </w:r>
      <w:r w:rsidR="00F1574B">
        <w:rPr>
          <w:rFonts w:asciiTheme="majorBidi" w:hAnsiTheme="majorBidi" w:cstheme="majorBidi"/>
        </w:rPr>
        <w:t xml:space="preserve"> et al., 2019</w:t>
      </w:r>
      <w:r>
        <w:rPr>
          <w:color w:val="0E101A"/>
        </w:rPr>
        <w:t>). Making a non-optimal decision makes nurses feel remorse and guilt. It causes avoidant behaviors and shows passive behavior in the next decision, and this passivity can lead to simple and unenforceable decisions (</w:t>
      </w:r>
      <w:r w:rsidR="00F1574B" w:rsidRPr="009C390C">
        <w:rPr>
          <w:rFonts w:asciiTheme="majorBidi" w:hAnsiTheme="majorBidi" w:cstheme="majorBidi"/>
        </w:rPr>
        <w:t>Pignatiello</w:t>
      </w:r>
      <w:r w:rsidR="00F1574B">
        <w:rPr>
          <w:rFonts w:asciiTheme="majorBidi" w:hAnsiTheme="majorBidi" w:cstheme="majorBidi"/>
        </w:rPr>
        <w:t xml:space="preserve"> et al., 2020</w:t>
      </w:r>
      <w:r>
        <w:rPr>
          <w:color w:val="0E101A"/>
        </w:rPr>
        <w:t>). Palinkas et al reported that Decision Fatigue in managers leads to the use of non-evidence-based methods (</w:t>
      </w:r>
      <w:r w:rsidR="00F1574B" w:rsidRPr="00632849">
        <w:rPr>
          <w:rFonts w:asciiTheme="majorBidi" w:hAnsiTheme="majorBidi" w:cstheme="majorBidi"/>
        </w:rPr>
        <w:t>Palinkas</w:t>
      </w:r>
      <w:r w:rsidR="00F1574B">
        <w:rPr>
          <w:rFonts w:asciiTheme="majorBidi" w:hAnsiTheme="majorBidi" w:cstheme="majorBidi"/>
        </w:rPr>
        <w:t xml:space="preserve"> et al., 2017</w:t>
      </w:r>
      <w:r>
        <w:rPr>
          <w:color w:val="0E101A"/>
        </w:rPr>
        <w:t>).</w:t>
      </w:r>
    </w:p>
    <w:p w14:paraId="4E044E0A" w14:textId="204F0143" w:rsidR="009D41A0" w:rsidRDefault="009D41A0" w:rsidP="007F4CEC">
      <w:pPr>
        <w:pStyle w:val="NormalWeb"/>
        <w:spacing w:before="0" w:beforeAutospacing="0" w:after="0" w:afterAutospacing="0" w:line="360" w:lineRule="auto"/>
        <w:jc w:val="both"/>
        <w:rPr>
          <w:color w:val="0E101A"/>
        </w:rPr>
      </w:pPr>
      <w:r>
        <w:rPr>
          <w:color w:val="0E101A"/>
        </w:rPr>
        <w:t xml:space="preserve">It seems that Decision Fatigue can directly affect nursing performance and patient care. An important and effective position and role of nurses in the spread of infectious diseases, such as COVID-19, is evident. Crisis management requires proper decision-making by the health team. The damage caused by the multistage rise of the coronavirus and its consequences has led to repeated and sometimes complex decisions made by nursing staff to deal with it, and these increasing pressures can lead to Decision Fatigue in nurses. Patients with </w:t>
      </w:r>
      <w:r w:rsidR="007E7A62">
        <w:rPr>
          <w:color w:val="0E101A"/>
        </w:rPr>
        <w:t>Covid-19</w:t>
      </w:r>
      <w:r>
        <w:rPr>
          <w:color w:val="0E101A"/>
        </w:rPr>
        <w:t xml:space="preserve"> need high-quality, immediate, and appropriate care, and Decision Fatigue can reduce the effectiveness of health care and endanger patients' health and lives. In Pandemic </w:t>
      </w:r>
      <w:r w:rsidR="007E7A62">
        <w:rPr>
          <w:color w:val="0E101A"/>
        </w:rPr>
        <w:t>Covid-19</w:t>
      </w:r>
      <w:r>
        <w:rPr>
          <w:color w:val="0E101A"/>
        </w:rPr>
        <w:t>, health care organizations should provide facilities for nurses, as the most important health care providers, so that they can make the right decision in emergency and critical situations to provide high-quality care to patients. Excessive workload and numerous physical and mental fatigue can cause Decision Fatigue and its negative consequences.</w:t>
      </w:r>
    </w:p>
    <w:p w14:paraId="477F579C" w14:textId="77777777" w:rsidR="005D50D0" w:rsidRDefault="005D50D0" w:rsidP="007F4CEC">
      <w:pPr>
        <w:pStyle w:val="NormalWeb"/>
        <w:spacing w:before="0" w:beforeAutospacing="0" w:after="0" w:afterAutospacing="0" w:line="360" w:lineRule="auto"/>
        <w:jc w:val="both"/>
        <w:rPr>
          <w:color w:val="0E101A"/>
        </w:rPr>
      </w:pPr>
    </w:p>
    <w:p w14:paraId="39BC172D" w14:textId="77777777" w:rsidR="002D302E" w:rsidRPr="007E7A62" w:rsidRDefault="002D302E" w:rsidP="002D302E">
      <w:pPr>
        <w:pStyle w:val="NormalWeb"/>
        <w:spacing w:before="0" w:beforeAutospacing="0" w:after="0" w:afterAutospacing="0" w:line="360" w:lineRule="auto"/>
        <w:jc w:val="both"/>
        <w:rPr>
          <w:b/>
          <w:bCs/>
          <w:color w:val="0E101A"/>
        </w:rPr>
      </w:pPr>
      <w:r w:rsidRPr="007E7A62">
        <w:rPr>
          <w:b/>
          <w:bCs/>
          <w:color w:val="0E101A"/>
        </w:rPr>
        <w:t xml:space="preserve">Keywords: </w:t>
      </w:r>
    </w:p>
    <w:p w14:paraId="7FD1DBE1" w14:textId="77777777" w:rsidR="002D302E" w:rsidRDefault="002D302E" w:rsidP="002D302E">
      <w:pPr>
        <w:pStyle w:val="NormalWeb"/>
        <w:spacing w:before="0" w:beforeAutospacing="0" w:after="0" w:afterAutospacing="0" w:line="360" w:lineRule="auto"/>
        <w:jc w:val="both"/>
        <w:rPr>
          <w:color w:val="0E101A"/>
        </w:rPr>
      </w:pPr>
      <w:r>
        <w:rPr>
          <w:color w:val="0E101A"/>
        </w:rPr>
        <w:t xml:space="preserve">Nurses, Decision Making, Decision Fatigue, Covid-19  </w:t>
      </w:r>
    </w:p>
    <w:p w14:paraId="213983F7" w14:textId="77777777" w:rsidR="00F1574B" w:rsidRDefault="00F1574B" w:rsidP="007F4CEC">
      <w:pPr>
        <w:pStyle w:val="NormalWeb"/>
        <w:spacing w:before="0" w:beforeAutospacing="0" w:after="0" w:afterAutospacing="0" w:line="360" w:lineRule="auto"/>
        <w:jc w:val="both"/>
        <w:rPr>
          <w:color w:val="0E101A"/>
        </w:rPr>
      </w:pPr>
    </w:p>
    <w:p w14:paraId="36885853" w14:textId="77777777" w:rsidR="00F1574B" w:rsidRDefault="00F1574B" w:rsidP="007F4CEC">
      <w:pPr>
        <w:pStyle w:val="NormalWeb"/>
        <w:spacing w:before="0" w:beforeAutospacing="0" w:after="0" w:afterAutospacing="0" w:line="360" w:lineRule="auto"/>
        <w:jc w:val="both"/>
        <w:rPr>
          <w:color w:val="0E101A"/>
        </w:rPr>
      </w:pPr>
    </w:p>
    <w:p w14:paraId="27B12778" w14:textId="77777777" w:rsidR="00F1574B" w:rsidRDefault="00F1574B" w:rsidP="007F4CEC">
      <w:pPr>
        <w:pStyle w:val="NormalWeb"/>
        <w:spacing w:before="0" w:beforeAutospacing="0" w:after="0" w:afterAutospacing="0" w:line="360" w:lineRule="auto"/>
        <w:jc w:val="both"/>
        <w:rPr>
          <w:color w:val="0E101A"/>
        </w:rPr>
      </w:pPr>
    </w:p>
    <w:p w14:paraId="302334A8" w14:textId="51A7D823" w:rsidR="009D41A0" w:rsidRDefault="009D41A0" w:rsidP="007F4CEC">
      <w:pPr>
        <w:pStyle w:val="NormalWeb"/>
        <w:spacing w:before="0" w:beforeAutospacing="0" w:after="0" w:afterAutospacing="0" w:line="360" w:lineRule="auto"/>
        <w:jc w:val="both"/>
        <w:rPr>
          <w:color w:val="0E101A"/>
        </w:rPr>
      </w:pPr>
    </w:p>
    <w:p w14:paraId="51B0304C" w14:textId="77777777" w:rsidR="009D41A0" w:rsidRPr="00150B08" w:rsidRDefault="009D41A0" w:rsidP="007F4CEC">
      <w:pPr>
        <w:spacing w:line="360" w:lineRule="auto"/>
        <w:ind w:hanging="360"/>
        <w:jc w:val="both"/>
        <w:rPr>
          <w:rFonts w:asciiTheme="majorBidi" w:eastAsia="MinionPro-Regular" w:hAnsiTheme="majorBidi" w:cstheme="majorBidi"/>
          <w:sz w:val="24"/>
          <w:szCs w:val="24"/>
        </w:rPr>
      </w:pPr>
      <w:r w:rsidRPr="00974EF9">
        <w:rPr>
          <w:rFonts w:asciiTheme="majorBidi" w:eastAsia="Calibri" w:hAnsiTheme="majorBidi" w:cs="B Nazanin"/>
          <w:b/>
          <w:bCs/>
          <w:sz w:val="28"/>
          <w:szCs w:val="28"/>
          <w:lang w:bidi="fa-IR"/>
        </w:rPr>
        <w:t>References:</w:t>
      </w:r>
    </w:p>
    <w:p w14:paraId="7C1864BF" w14:textId="6378D5C2" w:rsidR="00F1574B" w:rsidRPr="000C3EF1" w:rsidRDefault="00F1574B" w:rsidP="00183CE3">
      <w:pPr>
        <w:spacing w:after="0" w:line="360" w:lineRule="auto"/>
        <w:ind w:hanging="360"/>
        <w:jc w:val="both"/>
        <w:rPr>
          <w:rFonts w:asciiTheme="majorBidi" w:hAnsiTheme="majorBidi" w:cstheme="majorBidi"/>
          <w:sz w:val="24"/>
          <w:szCs w:val="24"/>
        </w:rPr>
      </w:pPr>
      <w:r w:rsidRPr="0092155A">
        <w:rPr>
          <w:rFonts w:asciiTheme="majorBidi" w:hAnsiTheme="majorBidi" w:cstheme="majorBidi"/>
          <w:sz w:val="24"/>
          <w:szCs w:val="24"/>
          <w:highlight w:val="white"/>
        </w:rPr>
        <w:t>Allan, J. L., Johnston, D. W., Powell, D. J. H., Farquharson, B., Jones, M. C., Leckie, G., &amp; Johnston, M. (2019). Clinical decisions and time since rest break: An analysis of decision fatigue in nurses. </w:t>
      </w:r>
      <w:r w:rsidRPr="0092155A">
        <w:rPr>
          <w:rFonts w:asciiTheme="majorBidi" w:hAnsiTheme="majorBidi" w:cstheme="majorBidi"/>
          <w:i/>
          <w:iCs/>
          <w:sz w:val="24"/>
          <w:szCs w:val="24"/>
          <w:highlight w:val="white"/>
        </w:rPr>
        <w:t>Health Psychology, 38</w:t>
      </w:r>
      <w:r w:rsidRPr="0092155A">
        <w:rPr>
          <w:rFonts w:asciiTheme="majorBidi" w:hAnsiTheme="majorBidi" w:cstheme="majorBidi"/>
          <w:sz w:val="24"/>
          <w:szCs w:val="24"/>
          <w:highlight w:val="white"/>
        </w:rPr>
        <w:t>(4), 318–324. </w:t>
      </w:r>
      <w:hyperlink r:id="rId5" w:tgtFrame="_blank" w:history="1">
        <w:r w:rsidRPr="0092155A">
          <w:rPr>
            <w:rStyle w:val="Hyperlink"/>
            <w:rFonts w:asciiTheme="majorBidi" w:hAnsiTheme="majorBidi" w:cstheme="majorBidi"/>
            <w:sz w:val="24"/>
            <w:szCs w:val="24"/>
            <w:highlight w:val="white"/>
          </w:rPr>
          <w:t>https://doi.org/10.1037/hea0000725</w:t>
        </w:r>
      </w:hyperlink>
    </w:p>
    <w:p w14:paraId="6C70AD2D" w14:textId="710C9464" w:rsidR="00183CE3" w:rsidRPr="000C3EF1" w:rsidRDefault="00183CE3" w:rsidP="00183CE3">
      <w:pPr>
        <w:spacing w:after="0" w:line="360" w:lineRule="auto"/>
        <w:ind w:hanging="360"/>
        <w:jc w:val="both"/>
        <w:rPr>
          <w:rFonts w:asciiTheme="majorBidi" w:hAnsiTheme="majorBidi" w:cstheme="majorBidi"/>
          <w:sz w:val="24"/>
          <w:szCs w:val="24"/>
        </w:rPr>
      </w:pPr>
      <w:r w:rsidRPr="009C390C">
        <w:rPr>
          <w:rFonts w:asciiTheme="majorBidi" w:hAnsiTheme="majorBidi" w:cstheme="majorBidi"/>
          <w:sz w:val="24"/>
          <w:szCs w:val="24"/>
        </w:rPr>
        <w:t>Bertrams, A., Baumeister, R. F., Englert, C., &amp; Furley, P. (2015). Ego depletion in color priming research: Self-control strength moderates the detrimental effect of red on cognitive test performance. Personality and Social Psychology Bulletin, 41(3), 311-322.</w:t>
      </w:r>
      <w:r>
        <w:rPr>
          <w:rFonts w:asciiTheme="majorBidi" w:hAnsiTheme="majorBidi" w:cstheme="majorBidi"/>
          <w:sz w:val="24"/>
          <w:szCs w:val="24"/>
        </w:rPr>
        <w:t xml:space="preserve"> </w:t>
      </w:r>
      <w:hyperlink r:id="rId6" w:history="1">
        <w:r w:rsidRPr="009C390C">
          <w:rPr>
            <w:rStyle w:val="Hyperlink"/>
            <w:rFonts w:asciiTheme="majorBidi" w:hAnsiTheme="majorBidi" w:cstheme="majorBidi"/>
            <w:sz w:val="24"/>
            <w:szCs w:val="24"/>
          </w:rPr>
          <w:t>https://doi.org/10.1177/0146167214564968</w:t>
        </w:r>
      </w:hyperlink>
    </w:p>
    <w:p w14:paraId="76722380" w14:textId="48AB747F" w:rsidR="00C51494" w:rsidRPr="00C51494" w:rsidRDefault="00C51494" w:rsidP="00183CE3">
      <w:pPr>
        <w:spacing w:after="0" w:line="360" w:lineRule="auto"/>
        <w:ind w:hanging="360"/>
        <w:jc w:val="both"/>
        <w:rPr>
          <w:rFonts w:asciiTheme="majorBidi" w:hAnsiTheme="majorBidi" w:cstheme="majorBidi"/>
          <w:sz w:val="24"/>
          <w:szCs w:val="24"/>
        </w:rPr>
      </w:pPr>
      <w:r w:rsidRPr="00C51494">
        <w:rPr>
          <w:rFonts w:asciiTheme="majorBidi" w:hAnsiTheme="majorBidi" w:cstheme="majorBidi"/>
          <w:color w:val="222222"/>
          <w:sz w:val="24"/>
          <w:szCs w:val="24"/>
          <w:shd w:val="clear" w:color="auto" w:fill="FFFFFF"/>
        </w:rPr>
        <w:t>Dai, Y., Hu, G., Xiong, H., Qiu, H., &amp; Yuan, X. (2020). Psychological impact of the coronavirus disease 2019 (COVID-19) outbreak on healthcare workers in China. </w:t>
      </w:r>
      <w:r w:rsidRPr="00C51494">
        <w:rPr>
          <w:rFonts w:asciiTheme="majorBidi" w:hAnsiTheme="majorBidi" w:cstheme="majorBidi"/>
          <w:i/>
          <w:iCs/>
          <w:color w:val="222222"/>
          <w:sz w:val="24"/>
          <w:szCs w:val="24"/>
          <w:shd w:val="clear" w:color="auto" w:fill="FFFFFF"/>
        </w:rPr>
        <w:t>MedRxiv</w:t>
      </w:r>
      <w:r w:rsidRPr="00C51494">
        <w:rPr>
          <w:rFonts w:asciiTheme="majorBidi" w:hAnsiTheme="majorBidi" w:cstheme="majorBidi"/>
          <w:color w:val="222222"/>
          <w:sz w:val="24"/>
          <w:szCs w:val="24"/>
          <w:shd w:val="clear" w:color="auto" w:fill="FFFFFF"/>
        </w:rPr>
        <w:t xml:space="preserve">. </w:t>
      </w:r>
      <w:r w:rsidR="009D41A0" w:rsidRPr="00C51494">
        <w:rPr>
          <w:rFonts w:asciiTheme="majorBidi" w:hAnsiTheme="majorBidi" w:cstheme="majorBidi"/>
          <w:sz w:val="24"/>
          <w:szCs w:val="24"/>
        </w:rPr>
        <w:t xml:space="preserve"> </w:t>
      </w:r>
      <w:hyperlink r:id="rId7" w:history="1">
        <w:r w:rsidR="0092155A" w:rsidRPr="00D7151F">
          <w:rPr>
            <w:rStyle w:val="Hyperlink"/>
            <w:rFonts w:asciiTheme="majorBidi" w:hAnsiTheme="majorBidi" w:cstheme="majorBidi"/>
            <w:sz w:val="24"/>
            <w:szCs w:val="24"/>
          </w:rPr>
          <w:t>https://doi.org/10.1101/2020.03.03.20030874</w:t>
        </w:r>
      </w:hyperlink>
    </w:p>
    <w:p w14:paraId="0C95A628" w14:textId="6F7C2FEF" w:rsidR="00183CE3" w:rsidRPr="000C3EF1" w:rsidRDefault="00183CE3" w:rsidP="00183CE3">
      <w:pPr>
        <w:spacing w:after="0" w:line="360" w:lineRule="auto"/>
        <w:ind w:hanging="360"/>
        <w:jc w:val="both"/>
        <w:rPr>
          <w:rFonts w:asciiTheme="majorBidi" w:hAnsiTheme="majorBidi" w:cstheme="majorBidi"/>
          <w:sz w:val="24"/>
          <w:szCs w:val="24"/>
        </w:rPr>
      </w:pPr>
      <w:r w:rsidRPr="0092155A">
        <w:rPr>
          <w:rFonts w:asciiTheme="majorBidi" w:hAnsiTheme="majorBidi" w:cstheme="majorBidi"/>
          <w:sz w:val="24"/>
          <w:szCs w:val="24"/>
          <w:highlight w:val="white"/>
        </w:rPr>
        <w:t>Hirshleifer, D., Levi, Y., Lourie, B., &amp; Teoh, S. H. (2019). Decision fatigue and heuristic analyst forecasts. </w:t>
      </w:r>
      <w:r w:rsidRPr="0092155A">
        <w:rPr>
          <w:rFonts w:asciiTheme="majorBidi" w:hAnsiTheme="majorBidi" w:cstheme="majorBidi"/>
          <w:i/>
          <w:iCs/>
          <w:sz w:val="24"/>
          <w:szCs w:val="24"/>
          <w:highlight w:val="white"/>
        </w:rPr>
        <w:t>Journal of Financial Economics</w:t>
      </w:r>
      <w:r w:rsidRPr="0092155A">
        <w:rPr>
          <w:rFonts w:asciiTheme="majorBidi" w:hAnsiTheme="majorBidi" w:cstheme="majorBidi"/>
          <w:sz w:val="24"/>
          <w:szCs w:val="24"/>
          <w:highlight w:val="white"/>
        </w:rPr>
        <w:t>, </w:t>
      </w:r>
      <w:r w:rsidRPr="0092155A">
        <w:rPr>
          <w:rFonts w:asciiTheme="majorBidi" w:hAnsiTheme="majorBidi" w:cstheme="majorBidi"/>
          <w:i/>
          <w:iCs/>
          <w:sz w:val="24"/>
          <w:szCs w:val="24"/>
          <w:highlight w:val="white"/>
        </w:rPr>
        <w:t>133</w:t>
      </w:r>
      <w:r w:rsidRPr="0092155A">
        <w:rPr>
          <w:rFonts w:asciiTheme="majorBidi" w:hAnsiTheme="majorBidi" w:cstheme="majorBidi"/>
          <w:sz w:val="24"/>
          <w:szCs w:val="24"/>
          <w:highlight w:val="white"/>
        </w:rPr>
        <w:t>(1), 83-98.</w:t>
      </w:r>
      <w:r>
        <w:rPr>
          <w:rFonts w:asciiTheme="majorBidi" w:hAnsiTheme="majorBidi" w:cstheme="majorBidi"/>
          <w:sz w:val="24"/>
          <w:szCs w:val="24"/>
        </w:rPr>
        <w:t xml:space="preserve"> </w:t>
      </w:r>
      <w:hyperlink r:id="rId8" w:tgtFrame="_blank" w:tooltip="Persistent link using digital object identifier" w:history="1">
        <w:r w:rsidRPr="0092155A">
          <w:rPr>
            <w:rStyle w:val="Hyperlink"/>
            <w:rFonts w:asciiTheme="majorBidi" w:hAnsiTheme="majorBidi" w:cstheme="majorBidi"/>
            <w:sz w:val="24"/>
            <w:szCs w:val="24"/>
          </w:rPr>
          <w:t>https://doi.org/10.1016/j.jfineco.2019.01.005</w:t>
        </w:r>
      </w:hyperlink>
    </w:p>
    <w:p w14:paraId="3342979F" w14:textId="03D7AC55" w:rsidR="00623E1B" w:rsidRDefault="00B16701" w:rsidP="00183CE3">
      <w:pPr>
        <w:spacing w:after="0" w:line="360" w:lineRule="auto"/>
        <w:ind w:hanging="360"/>
        <w:jc w:val="both"/>
        <w:rPr>
          <w:rFonts w:asciiTheme="majorBidi" w:hAnsiTheme="majorBidi" w:cstheme="majorBidi"/>
          <w:sz w:val="24"/>
          <w:szCs w:val="24"/>
        </w:rPr>
      </w:pPr>
      <w:r w:rsidRPr="00B16701">
        <w:rPr>
          <w:rFonts w:asciiTheme="majorBidi" w:hAnsiTheme="majorBidi" w:cstheme="majorBidi"/>
          <w:sz w:val="24"/>
          <w:szCs w:val="24"/>
        </w:rPr>
        <w:t>Joshi, S. (2020). Coronavirus disease 2019 pandemic: Nursing challenges faced. Cancer Research, Statistics, and Treatment, 3(5), 136.</w:t>
      </w:r>
      <w:r w:rsidRPr="00B16701">
        <w:t xml:space="preserve"> </w:t>
      </w:r>
      <w:hyperlink r:id="rId9" w:history="1">
        <w:r w:rsidRPr="00D7151F">
          <w:rPr>
            <w:rStyle w:val="Hyperlink"/>
            <w:rFonts w:asciiTheme="majorBidi" w:hAnsiTheme="majorBidi" w:cstheme="majorBidi"/>
            <w:sz w:val="24"/>
            <w:szCs w:val="24"/>
          </w:rPr>
          <w:t>https://doi.org/10.4103/CRST.CRST_148_20</w:t>
        </w:r>
      </w:hyperlink>
    </w:p>
    <w:p w14:paraId="4627FFE7" w14:textId="6D813EF9" w:rsidR="0092155A" w:rsidRDefault="0092155A" w:rsidP="0092155A">
      <w:pPr>
        <w:spacing w:after="0" w:line="360" w:lineRule="auto"/>
        <w:ind w:hanging="360"/>
        <w:jc w:val="both"/>
        <w:rPr>
          <w:rFonts w:asciiTheme="majorBidi" w:hAnsiTheme="majorBidi" w:cstheme="majorBidi"/>
          <w:sz w:val="24"/>
          <w:szCs w:val="24"/>
        </w:rPr>
      </w:pPr>
      <w:r w:rsidRPr="0092155A">
        <w:rPr>
          <w:rFonts w:asciiTheme="majorBidi" w:hAnsiTheme="majorBidi" w:cstheme="majorBidi"/>
          <w:sz w:val="24"/>
          <w:szCs w:val="24"/>
        </w:rPr>
        <w:t xml:space="preserve">McKenna H. (2020). Covid-19: Ethical issues for nurses. International journal of nursing studies, 110, 103673. </w:t>
      </w:r>
      <w:hyperlink r:id="rId10" w:history="1">
        <w:r w:rsidRPr="00D7151F">
          <w:rPr>
            <w:rStyle w:val="Hyperlink"/>
            <w:rFonts w:asciiTheme="majorBidi" w:hAnsiTheme="majorBidi" w:cstheme="majorBidi"/>
            <w:sz w:val="24"/>
            <w:szCs w:val="24"/>
          </w:rPr>
          <w:t>https://doi.org/10.1016/j.ijnurstu.2020.103673</w:t>
        </w:r>
      </w:hyperlink>
    </w:p>
    <w:p w14:paraId="148B23FE" w14:textId="1EADCFDC" w:rsidR="00183CE3" w:rsidRPr="000C3EF1" w:rsidRDefault="00183CE3" w:rsidP="00183CE3">
      <w:pPr>
        <w:spacing w:after="0" w:line="360" w:lineRule="auto"/>
        <w:ind w:hanging="360"/>
        <w:jc w:val="both"/>
        <w:rPr>
          <w:rFonts w:asciiTheme="majorBidi" w:hAnsiTheme="majorBidi" w:cstheme="majorBidi"/>
          <w:sz w:val="24"/>
          <w:szCs w:val="24"/>
        </w:rPr>
      </w:pPr>
      <w:r w:rsidRPr="00BC55D1">
        <w:rPr>
          <w:rFonts w:asciiTheme="majorBidi" w:hAnsiTheme="majorBidi" w:cstheme="majorBidi"/>
          <w:sz w:val="24"/>
          <w:szCs w:val="24"/>
        </w:rPr>
        <w:t xml:space="preserve">Mosavinasab, M., Shojaei, K., Azodi, P., &amp; Jahanpour, F. (2015). Barriers and facilitators of clinical decision making among nurses. </w:t>
      </w:r>
      <w:r w:rsidRPr="00BC55D1">
        <w:rPr>
          <w:rFonts w:asciiTheme="majorBidi" w:hAnsiTheme="majorBidi" w:cstheme="majorBidi"/>
          <w:i/>
          <w:iCs/>
          <w:sz w:val="24"/>
          <w:szCs w:val="24"/>
        </w:rPr>
        <w:t>Quarterly Journal of Nursing Management,</w:t>
      </w:r>
      <w:r>
        <w:rPr>
          <w:rFonts w:asciiTheme="majorBidi" w:hAnsiTheme="majorBidi" w:cstheme="majorBidi"/>
          <w:sz w:val="24"/>
          <w:szCs w:val="24"/>
        </w:rPr>
        <w:t xml:space="preserve"> </w:t>
      </w:r>
      <w:r w:rsidRPr="000C3EF1">
        <w:rPr>
          <w:rFonts w:asciiTheme="majorBidi" w:hAnsiTheme="majorBidi" w:cstheme="majorBidi"/>
          <w:sz w:val="24"/>
          <w:szCs w:val="24"/>
        </w:rPr>
        <w:t>4(3):9-17.</w:t>
      </w:r>
      <w:r>
        <w:rPr>
          <w:rFonts w:asciiTheme="majorBidi" w:hAnsiTheme="majorBidi" w:cstheme="majorBidi"/>
          <w:sz w:val="24"/>
          <w:szCs w:val="24"/>
        </w:rPr>
        <w:t xml:space="preserve"> </w:t>
      </w:r>
      <w:r w:rsidRPr="00BC55D1">
        <w:rPr>
          <w:rFonts w:asciiTheme="majorBidi" w:hAnsiTheme="majorBidi" w:cstheme="majorBidi"/>
          <w:sz w:val="24"/>
          <w:szCs w:val="24"/>
        </w:rPr>
        <w:t>[Persian]</w:t>
      </w:r>
    </w:p>
    <w:p w14:paraId="1C718EA1" w14:textId="1BD4C2CF" w:rsidR="00183CE3" w:rsidRPr="000C3EF1" w:rsidRDefault="00183CE3" w:rsidP="00183CE3">
      <w:pPr>
        <w:spacing w:after="0" w:line="360" w:lineRule="auto"/>
        <w:ind w:hanging="360"/>
        <w:jc w:val="both"/>
        <w:rPr>
          <w:rFonts w:asciiTheme="majorBidi" w:hAnsiTheme="majorBidi" w:cstheme="majorBidi"/>
          <w:sz w:val="24"/>
          <w:szCs w:val="24"/>
        </w:rPr>
      </w:pPr>
      <w:r w:rsidRPr="00BC55D1">
        <w:rPr>
          <w:rFonts w:asciiTheme="majorBidi" w:hAnsiTheme="majorBidi" w:cstheme="majorBidi"/>
          <w:sz w:val="24"/>
          <w:szCs w:val="24"/>
          <w:highlight w:val="white"/>
        </w:rPr>
        <w:t>Oto, B. (2012). When thinking is hard: managing decision fatigue.. </w:t>
      </w:r>
      <w:r w:rsidRPr="00BC55D1">
        <w:rPr>
          <w:rFonts w:asciiTheme="majorBidi" w:hAnsiTheme="majorBidi" w:cstheme="majorBidi"/>
          <w:i/>
          <w:iCs/>
          <w:sz w:val="24"/>
          <w:szCs w:val="24"/>
          <w:highlight w:val="white"/>
        </w:rPr>
        <w:t>EMS world</w:t>
      </w:r>
      <w:r w:rsidRPr="00BC55D1">
        <w:rPr>
          <w:rFonts w:asciiTheme="majorBidi" w:hAnsiTheme="majorBidi" w:cstheme="majorBidi"/>
          <w:sz w:val="24"/>
          <w:szCs w:val="24"/>
          <w:highlight w:val="white"/>
        </w:rPr>
        <w:t>, </w:t>
      </w:r>
      <w:r w:rsidRPr="00BC55D1">
        <w:rPr>
          <w:rFonts w:asciiTheme="majorBidi" w:hAnsiTheme="majorBidi" w:cstheme="majorBidi"/>
          <w:i/>
          <w:iCs/>
          <w:sz w:val="24"/>
          <w:szCs w:val="24"/>
          <w:highlight w:val="white"/>
        </w:rPr>
        <w:t>41</w:t>
      </w:r>
      <w:r w:rsidRPr="00BC55D1">
        <w:rPr>
          <w:rFonts w:asciiTheme="majorBidi" w:hAnsiTheme="majorBidi" w:cstheme="majorBidi"/>
          <w:sz w:val="24"/>
          <w:szCs w:val="24"/>
          <w:highlight w:val="white"/>
        </w:rPr>
        <w:t>(5), 46-50.</w:t>
      </w:r>
      <w:r>
        <w:rPr>
          <w:rFonts w:asciiTheme="majorBidi" w:hAnsiTheme="majorBidi" w:cstheme="majorBidi"/>
          <w:sz w:val="24"/>
          <w:szCs w:val="24"/>
        </w:rPr>
        <w:t xml:space="preserve"> </w:t>
      </w:r>
      <w:r w:rsidRPr="00BC55D1">
        <w:rPr>
          <w:rFonts w:asciiTheme="majorBidi" w:hAnsiTheme="majorBidi" w:cstheme="majorBidi"/>
          <w:sz w:val="24"/>
          <w:szCs w:val="24"/>
        </w:rPr>
        <w:t>PMID: 29569950 | PMCID: PMC6119549</w:t>
      </w:r>
    </w:p>
    <w:p w14:paraId="759D9547" w14:textId="1C5E4F01" w:rsidR="00183CE3" w:rsidRDefault="00183CE3" w:rsidP="00183CE3">
      <w:pPr>
        <w:spacing w:after="0" w:line="360" w:lineRule="auto"/>
        <w:ind w:hanging="360"/>
        <w:jc w:val="both"/>
        <w:rPr>
          <w:rFonts w:asciiTheme="majorBidi" w:hAnsiTheme="majorBidi" w:cstheme="majorBidi"/>
          <w:sz w:val="24"/>
          <w:szCs w:val="24"/>
        </w:rPr>
      </w:pPr>
      <w:r w:rsidRPr="00632849">
        <w:rPr>
          <w:rFonts w:asciiTheme="majorBidi" w:hAnsiTheme="majorBidi" w:cstheme="majorBidi"/>
          <w:sz w:val="24"/>
          <w:szCs w:val="24"/>
        </w:rPr>
        <w:t xml:space="preserve">Palinkas, L. A., Um, M. Y., Jeong, C. H., Chor, K. H. B., Olin, S., Horwitz, S. M., &amp; Hoagwood, K. E. (2017). Adoption of innovative and evidence-based practices for children and adolescents in </w:t>
      </w:r>
      <w:r w:rsidRPr="00632849">
        <w:rPr>
          <w:rFonts w:asciiTheme="majorBidi" w:hAnsiTheme="majorBidi" w:cstheme="majorBidi"/>
          <w:sz w:val="24"/>
          <w:szCs w:val="24"/>
        </w:rPr>
        <w:lastRenderedPageBreak/>
        <w:t>state-supported mental health clinics: a qualitative study. Health research policy and systems, 15(1), 1-9.</w:t>
      </w:r>
      <w:r>
        <w:rPr>
          <w:rFonts w:asciiTheme="majorBidi" w:hAnsiTheme="majorBidi" w:cstheme="majorBidi"/>
          <w:sz w:val="24"/>
          <w:szCs w:val="24"/>
        </w:rPr>
        <w:t xml:space="preserve"> </w:t>
      </w:r>
      <w:hyperlink r:id="rId11" w:history="1">
        <w:r w:rsidRPr="00632849">
          <w:rPr>
            <w:rStyle w:val="Hyperlink"/>
            <w:rFonts w:asciiTheme="majorBidi" w:hAnsiTheme="majorBidi" w:cstheme="majorBidi"/>
            <w:sz w:val="24"/>
            <w:szCs w:val="24"/>
          </w:rPr>
          <w:t>https://doi.org/10.1186/s12961-017-0190-z</w:t>
        </w:r>
      </w:hyperlink>
    </w:p>
    <w:p w14:paraId="38F088D6" w14:textId="3E7CEB9B" w:rsidR="00183CE3" w:rsidRPr="000C3EF1" w:rsidRDefault="00183CE3" w:rsidP="00183CE3">
      <w:pPr>
        <w:spacing w:after="0" w:line="360" w:lineRule="auto"/>
        <w:ind w:hanging="360"/>
        <w:jc w:val="both"/>
        <w:rPr>
          <w:rFonts w:asciiTheme="majorBidi" w:hAnsiTheme="majorBidi" w:cstheme="majorBidi"/>
          <w:sz w:val="24"/>
          <w:szCs w:val="24"/>
        </w:rPr>
      </w:pPr>
      <w:r w:rsidRPr="00BC55D1">
        <w:rPr>
          <w:rFonts w:asciiTheme="majorBidi" w:hAnsiTheme="majorBidi" w:cstheme="majorBidi"/>
          <w:sz w:val="24"/>
          <w:szCs w:val="24"/>
        </w:rPr>
        <w:t>Persson, E., Barrafrem, K., Meunier, A., &amp; Tinghög, G. (2019). The effect of decision fatigue on surgeons' clinical decision making. Health economics, 28(10), 1194-1203.</w:t>
      </w:r>
      <w:r>
        <w:rPr>
          <w:rFonts w:asciiTheme="majorBidi" w:hAnsiTheme="majorBidi" w:cstheme="majorBidi"/>
          <w:sz w:val="24"/>
          <w:szCs w:val="24"/>
        </w:rPr>
        <w:t xml:space="preserve"> </w:t>
      </w:r>
      <w:hyperlink r:id="rId12" w:history="1">
        <w:r w:rsidRPr="00BC55D1">
          <w:rPr>
            <w:rStyle w:val="Hyperlink"/>
            <w:rFonts w:asciiTheme="majorBidi" w:hAnsiTheme="majorBidi" w:cstheme="majorBidi"/>
            <w:sz w:val="24"/>
            <w:szCs w:val="24"/>
          </w:rPr>
          <w:t>https://doi.org/10.1002/hec.3933</w:t>
        </w:r>
      </w:hyperlink>
    </w:p>
    <w:p w14:paraId="57EC896A" w14:textId="13392532" w:rsidR="009D41A0" w:rsidRPr="000C3EF1" w:rsidRDefault="009C390C" w:rsidP="009C390C">
      <w:pPr>
        <w:spacing w:after="0" w:line="360" w:lineRule="auto"/>
        <w:ind w:hanging="360"/>
        <w:jc w:val="both"/>
        <w:rPr>
          <w:rFonts w:asciiTheme="majorBidi" w:hAnsiTheme="majorBidi" w:cstheme="majorBidi"/>
          <w:sz w:val="24"/>
          <w:szCs w:val="24"/>
        </w:rPr>
      </w:pPr>
      <w:r w:rsidRPr="009C390C">
        <w:rPr>
          <w:rFonts w:asciiTheme="majorBidi" w:hAnsiTheme="majorBidi" w:cstheme="majorBidi"/>
          <w:sz w:val="24"/>
          <w:szCs w:val="24"/>
        </w:rPr>
        <w:t>Pignatiello, G. A., Martin, R. J., &amp; Hickman Jr, R. L. (2020). Decision fatigue: A conceptual analysis. Journal of health psychology, 25(1), 123-135.</w:t>
      </w:r>
      <w:r>
        <w:rPr>
          <w:rFonts w:asciiTheme="majorBidi" w:hAnsiTheme="majorBidi" w:cstheme="majorBidi"/>
          <w:sz w:val="24"/>
          <w:szCs w:val="24"/>
        </w:rPr>
        <w:t xml:space="preserve"> </w:t>
      </w:r>
      <w:hyperlink r:id="rId13" w:history="1">
        <w:r w:rsidRPr="009C390C">
          <w:rPr>
            <w:rStyle w:val="Hyperlink"/>
            <w:rFonts w:asciiTheme="majorBidi" w:hAnsiTheme="majorBidi" w:cstheme="majorBidi"/>
            <w:sz w:val="24"/>
            <w:szCs w:val="24"/>
          </w:rPr>
          <w:t>https://doi.org/10.1177/1359105318763510</w:t>
        </w:r>
      </w:hyperlink>
    </w:p>
    <w:p w14:paraId="7670F7DD" w14:textId="4A3F04CE" w:rsidR="00183CE3" w:rsidRDefault="00183CE3" w:rsidP="00183CE3">
      <w:pPr>
        <w:spacing w:after="0" w:line="360" w:lineRule="auto"/>
        <w:ind w:hanging="360"/>
        <w:jc w:val="both"/>
        <w:rPr>
          <w:rFonts w:asciiTheme="majorBidi" w:hAnsiTheme="majorBidi" w:cstheme="majorBidi"/>
          <w:color w:val="222222"/>
          <w:sz w:val="24"/>
          <w:szCs w:val="24"/>
          <w:shd w:val="clear" w:color="auto" w:fill="FFFFFF"/>
        </w:rPr>
      </w:pPr>
      <w:r w:rsidRPr="00AC3854">
        <w:rPr>
          <w:rFonts w:asciiTheme="majorBidi" w:hAnsiTheme="majorBidi" w:cstheme="majorBidi"/>
          <w:color w:val="222222"/>
          <w:sz w:val="24"/>
          <w:szCs w:val="24"/>
          <w:shd w:val="clear" w:color="auto" w:fill="FFFFFF"/>
        </w:rPr>
        <w:t>Scott, L. D., Arslanian-Engoren, C., &amp; Engoren, M. C. (2014). Association of sleep and fatigue with decision regret among critical care nurses. American Journal of Critical Care, 23(1), 13-23.</w:t>
      </w:r>
      <w:r w:rsidRPr="00F1574B">
        <w:rPr>
          <w:rFonts w:asciiTheme="majorBidi" w:hAnsiTheme="majorBidi" w:cstheme="majorBidi"/>
          <w:sz w:val="24"/>
          <w:szCs w:val="24"/>
        </w:rPr>
        <w:t xml:space="preserve"> </w:t>
      </w:r>
      <w:hyperlink r:id="rId14" w:tgtFrame="_blank" w:history="1">
        <w:r w:rsidRPr="00AC3854">
          <w:rPr>
            <w:rStyle w:val="Hyperlink"/>
            <w:rFonts w:asciiTheme="majorBidi" w:hAnsiTheme="majorBidi" w:cstheme="majorBidi"/>
            <w:sz w:val="24"/>
            <w:szCs w:val="24"/>
          </w:rPr>
          <w:t>https://doi.org/10.4037/ajcc2014191</w:t>
        </w:r>
      </w:hyperlink>
    </w:p>
    <w:p w14:paraId="66E1CD0C" w14:textId="5A21A386" w:rsidR="00183CE3" w:rsidRDefault="00183CE3" w:rsidP="00183CE3">
      <w:pPr>
        <w:spacing w:after="0" w:line="360" w:lineRule="auto"/>
        <w:ind w:hanging="360"/>
        <w:jc w:val="both"/>
        <w:rPr>
          <w:rFonts w:asciiTheme="majorBidi" w:hAnsiTheme="majorBidi" w:cstheme="majorBidi"/>
          <w:sz w:val="24"/>
          <w:szCs w:val="24"/>
        </w:rPr>
      </w:pPr>
      <w:r w:rsidRPr="00F1574B">
        <w:rPr>
          <w:rFonts w:asciiTheme="majorBidi" w:hAnsiTheme="majorBidi" w:cstheme="majorBidi"/>
          <w:sz w:val="24"/>
          <w:szCs w:val="24"/>
        </w:rPr>
        <w:t>Shirey, M. R., Ebright, P. R., &amp; McDANIEL, A. M. (2013). Nurse manager cognitive decision‐making amidst stress and work complexity. Journal of Nursing Management, 21(1), 17-30.</w:t>
      </w:r>
      <w:r w:rsidRPr="00F1574B">
        <w:t xml:space="preserve"> </w:t>
      </w:r>
      <w:hyperlink r:id="rId15" w:history="1">
        <w:r w:rsidRPr="00F1574B">
          <w:rPr>
            <w:rStyle w:val="Hyperlink"/>
            <w:rFonts w:asciiTheme="majorBidi" w:hAnsiTheme="majorBidi" w:cstheme="majorBidi"/>
            <w:sz w:val="24"/>
            <w:szCs w:val="24"/>
          </w:rPr>
          <w:t>https://doi.org/10.1111/j.1365-2834.2012.01380.x</w:t>
        </w:r>
      </w:hyperlink>
    </w:p>
    <w:p w14:paraId="0A4D6395" w14:textId="256AB01B" w:rsidR="00183CE3" w:rsidRPr="000C3EF1" w:rsidRDefault="00183CE3" w:rsidP="00183CE3">
      <w:pPr>
        <w:spacing w:after="0" w:line="360" w:lineRule="auto"/>
        <w:ind w:hanging="360"/>
        <w:jc w:val="both"/>
        <w:rPr>
          <w:rFonts w:asciiTheme="majorBidi" w:hAnsiTheme="majorBidi" w:cstheme="majorBidi"/>
          <w:sz w:val="24"/>
          <w:szCs w:val="24"/>
        </w:rPr>
      </w:pPr>
      <w:r w:rsidRPr="009C390C">
        <w:rPr>
          <w:rFonts w:asciiTheme="majorBidi" w:hAnsiTheme="majorBidi" w:cstheme="majorBidi"/>
          <w:sz w:val="24"/>
          <w:szCs w:val="24"/>
        </w:rPr>
        <w:t>Sjåstad, H., &amp; Baumeister, R. F. (2018). The future and the will: Planning requires self-control, and ego depletion leads to planning aversion. </w:t>
      </w:r>
      <w:r w:rsidRPr="009C390C">
        <w:rPr>
          <w:rFonts w:asciiTheme="majorBidi" w:hAnsiTheme="majorBidi" w:cstheme="majorBidi"/>
          <w:i/>
          <w:iCs/>
          <w:sz w:val="24"/>
          <w:szCs w:val="24"/>
        </w:rPr>
        <w:t>Journal of Experimental Social Psychology</w:t>
      </w:r>
      <w:r w:rsidRPr="009C390C">
        <w:rPr>
          <w:rFonts w:asciiTheme="majorBidi" w:hAnsiTheme="majorBidi" w:cstheme="majorBidi"/>
          <w:sz w:val="24"/>
          <w:szCs w:val="24"/>
        </w:rPr>
        <w:t>, </w:t>
      </w:r>
      <w:r w:rsidRPr="009C390C">
        <w:rPr>
          <w:rFonts w:asciiTheme="majorBidi" w:hAnsiTheme="majorBidi" w:cstheme="majorBidi"/>
          <w:i/>
          <w:iCs/>
          <w:sz w:val="24"/>
          <w:szCs w:val="24"/>
        </w:rPr>
        <w:t>76</w:t>
      </w:r>
      <w:r w:rsidRPr="009C390C">
        <w:rPr>
          <w:rFonts w:asciiTheme="majorBidi" w:hAnsiTheme="majorBidi" w:cstheme="majorBidi"/>
          <w:sz w:val="24"/>
          <w:szCs w:val="24"/>
        </w:rPr>
        <w:t>, 127-141.</w:t>
      </w:r>
      <w:r w:rsidRPr="009C390C">
        <w:t xml:space="preserve"> </w:t>
      </w:r>
      <w:hyperlink r:id="rId16" w:tgtFrame="_blank" w:tooltip="Persistent link using digital object identifier" w:history="1">
        <w:r w:rsidRPr="009C390C">
          <w:rPr>
            <w:rStyle w:val="Hyperlink"/>
            <w:rFonts w:asciiTheme="majorBidi" w:hAnsiTheme="majorBidi" w:cstheme="majorBidi"/>
            <w:sz w:val="24"/>
            <w:szCs w:val="24"/>
          </w:rPr>
          <w:t>https://doi.org/10.1016/j.jesp.2018.01.005</w:t>
        </w:r>
      </w:hyperlink>
    </w:p>
    <w:p w14:paraId="0D337989" w14:textId="56B9F1AA" w:rsidR="009D41A0" w:rsidRPr="000C3EF1" w:rsidRDefault="00183CE3" w:rsidP="00183CE3">
      <w:pPr>
        <w:spacing w:after="0" w:line="360" w:lineRule="auto"/>
        <w:ind w:hanging="360"/>
        <w:jc w:val="both"/>
        <w:rPr>
          <w:rFonts w:asciiTheme="majorBidi" w:hAnsiTheme="majorBidi" w:cstheme="majorBidi"/>
          <w:sz w:val="24"/>
          <w:szCs w:val="24"/>
        </w:rPr>
      </w:pPr>
      <w:r w:rsidRPr="00183CE3">
        <w:rPr>
          <w:rFonts w:asciiTheme="majorBidi" w:hAnsiTheme="majorBidi" w:cstheme="majorBidi"/>
          <w:sz w:val="24"/>
          <w:szCs w:val="24"/>
        </w:rPr>
        <w:t>Vergano, M., Bertolini, G., Giannini, A., Gristina, G. R., Livigni, S., Mistraletti, G., ... &amp; Petrini, F. (2020). Clinical ethics recommendations for the allocation of intensive care treatments in exceptional, resource-limited circumstances: the Italian perspective during the COVID-19 epidemic. Crit Care, 24(165), 1-3. https://doi.org/10.1186/s13054-020-02891-w</w:t>
      </w:r>
      <w:r w:rsidR="009D41A0" w:rsidRPr="000C3EF1">
        <w:rPr>
          <w:rFonts w:asciiTheme="majorBidi" w:hAnsiTheme="majorBidi" w:cstheme="majorBidi"/>
          <w:sz w:val="24"/>
          <w:szCs w:val="24"/>
        </w:rPr>
        <w:t xml:space="preserve"> </w:t>
      </w:r>
    </w:p>
    <w:p w14:paraId="0ACA2E4D" w14:textId="77777777" w:rsidR="009D41A0" w:rsidRDefault="009D41A0" w:rsidP="007F4CEC">
      <w:pPr>
        <w:spacing w:after="0" w:line="360" w:lineRule="auto"/>
        <w:jc w:val="both"/>
        <w:rPr>
          <w:b/>
          <w:sz w:val="28"/>
          <w:szCs w:val="28"/>
        </w:rPr>
      </w:pPr>
    </w:p>
    <w:p w14:paraId="2F1B9F04" w14:textId="77777777" w:rsidR="009D41A0" w:rsidRDefault="009D41A0" w:rsidP="007F4CEC">
      <w:pPr>
        <w:pStyle w:val="NormalWeb"/>
        <w:spacing w:before="0" w:beforeAutospacing="0" w:after="0" w:afterAutospacing="0" w:line="360" w:lineRule="auto"/>
        <w:jc w:val="both"/>
        <w:rPr>
          <w:color w:val="0E101A"/>
        </w:rPr>
      </w:pPr>
    </w:p>
    <w:p w14:paraId="373405AC" w14:textId="652B09B9" w:rsidR="00D6275C" w:rsidRPr="009D41A0" w:rsidRDefault="00D6275C" w:rsidP="007F4CEC">
      <w:pPr>
        <w:spacing w:line="360" w:lineRule="auto"/>
        <w:jc w:val="both"/>
        <w:rPr>
          <w:rtl/>
          <w:lang w:bidi="fa-IR"/>
        </w:rPr>
      </w:pPr>
    </w:p>
    <w:sectPr w:rsidR="00D6275C" w:rsidRPr="009D41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MinionPro-Regular">
    <w:altName w:val="MS Mincho"/>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5A3063"/>
    <w:multiLevelType w:val="hybridMultilevel"/>
    <w:tmpl w:val="BBCE6B5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561777"/>
    <w:multiLevelType w:val="hybridMultilevel"/>
    <w:tmpl w:val="F8986D68"/>
    <w:lvl w:ilvl="0" w:tplc="640CB284">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B02"/>
    <w:rsid w:val="0002190A"/>
    <w:rsid w:val="001760DE"/>
    <w:rsid w:val="00183CE3"/>
    <w:rsid w:val="0025505D"/>
    <w:rsid w:val="002D302E"/>
    <w:rsid w:val="003F58BA"/>
    <w:rsid w:val="00493487"/>
    <w:rsid w:val="00533F81"/>
    <w:rsid w:val="005D50D0"/>
    <w:rsid w:val="00623E1B"/>
    <w:rsid w:val="00632849"/>
    <w:rsid w:val="00667674"/>
    <w:rsid w:val="007D44CA"/>
    <w:rsid w:val="007E7A62"/>
    <w:rsid w:val="007F4CEC"/>
    <w:rsid w:val="0092155A"/>
    <w:rsid w:val="009C390C"/>
    <w:rsid w:val="009D41A0"/>
    <w:rsid w:val="00AC3854"/>
    <w:rsid w:val="00B16701"/>
    <w:rsid w:val="00BC55D1"/>
    <w:rsid w:val="00C51494"/>
    <w:rsid w:val="00CE3D94"/>
    <w:rsid w:val="00D6275C"/>
    <w:rsid w:val="00DE5FFE"/>
    <w:rsid w:val="00E03F48"/>
    <w:rsid w:val="00E322BD"/>
    <w:rsid w:val="00EB1B02"/>
    <w:rsid w:val="00F1574B"/>
    <w:rsid w:val="00FA30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0B386"/>
  <w15:chartTrackingRefBased/>
  <w15:docId w15:val="{52538CAF-0D04-43F9-9A6F-1D897FA4A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41A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D41A0"/>
    <w:rPr>
      <w:b/>
      <w:bCs/>
    </w:rPr>
  </w:style>
  <w:style w:type="paragraph" w:styleId="CommentText">
    <w:name w:val="annotation text"/>
    <w:basedOn w:val="Normal"/>
    <w:link w:val="CommentTextChar"/>
    <w:uiPriority w:val="99"/>
    <w:unhideWhenUsed/>
    <w:rsid w:val="005D50D0"/>
    <w:pPr>
      <w:spacing w:line="240" w:lineRule="auto"/>
    </w:pPr>
    <w:rPr>
      <w:sz w:val="20"/>
      <w:szCs w:val="20"/>
    </w:rPr>
  </w:style>
  <w:style w:type="character" w:customStyle="1" w:styleId="CommentTextChar">
    <w:name w:val="Comment Text Char"/>
    <w:basedOn w:val="DefaultParagraphFont"/>
    <w:link w:val="CommentText"/>
    <w:uiPriority w:val="99"/>
    <w:rsid w:val="005D50D0"/>
    <w:rPr>
      <w:sz w:val="20"/>
      <w:szCs w:val="20"/>
    </w:rPr>
  </w:style>
  <w:style w:type="character" w:styleId="Hyperlink">
    <w:name w:val="Hyperlink"/>
    <w:basedOn w:val="DefaultParagraphFont"/>
    <w:uiPriority w:val="99"/>
    <w:unhideWhenUsed/>
    <w:rsid w:val="007F4CEC"/>
    <w:rPr>
      <w:color w:val="0563C1" w:themeColor="hyperlink"/>
      <w:u w:val="single"/>
    </w:rPr>
  </w:style>
  <w:style w:type="paragraph" w:styleId="ListParagraph">
    <w:name w:val="List Paragraph"/>
    <w:basedOn w:val="Normal"/>
    <w:uiPriority w:val="34"/>
    <w:qFormat/>
    <w:rsid w:val="007F4CEC"/>
    <w:pPr>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629576">
      <w:bodyDiv w:val="1"/>
      <w:marLeft w:val="0"/>
      <w:marRight w:val="0"/>
      <w:marTop w:val="0"/>
      <w:marBottom w:val="0"/>
      <w:divBdr>
        <w:top w:val="none" w:sz="0" w:space="0" w:color="auto"/>
        <w:left w:val="none" w:sz="0" w:space="0" w:color="auto"/>
        <w:bottom w:val="none" w:sz="0" w:space="0" w:color="auto"/>
        <w:right w:val="none" w:sz="0" w:space="0" w:color="auto"/>
      </w:divBdr>
      <w:divsChild>
        <w:div w:id="1824539591">
          <w:marLeft w:val="0"/>
          <w:marRight w:val="0"/>
          <w:marTop w:val="0"/>
          <w:marBottom w:val="0"/>
          <w:divBdr>
            <w:top w:val="none" w:sz="0" w:space="0" w:color="auto"/>
            <w:left w:val="none" w:sz="0" w:space="0" w:color="auto"/>
            <w:bottom w:val="none" w:sz="0" w:space="0" w:color="auto"/>
            <w:right w:val="none" w:sz="0" w:space="0" w:color="auto"/>
          </w:divBdr>
        </w:div>
      </w:divsChild>
    </w:div>
    <w:div w:id="113163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fineco.2019.01.005" TargetMode="External"/><Relationship Id="rId13" Type="http://schemas.openxmlformats.org/officeDocument/2006/relationships/hyperlink" Target="https://doi.org/10.1177%2F135910531876351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01/2020.03.03.20030874" TargetMode="External"/><Relationship Id="rId12" Type="http://schemas.openxmlformats.org/officeDocument/2006/relationships/hyperlink" Target="https://doi.org/10.1002/hec.393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16/j.jesp.2018.01.005" TargetMode="External"/><Relationship Id="rId1" Type="http://schemas.openxmlformats.org/officeDocument/2006/relationships/numbering" Target="numbering.xml"/><Relationship Id="rId6" Type="http://schemas.openxmlformats.org/officeDocument/2006/relationships/hyperlink" Target="https://doi.org/10.1177%2F0146167214564968" TargetMode="External"/><Relationship Id="rId11" Type="http://schemas.openxmlformats.org/officeDocument/2006/relationships/hyperlink" Target="https://doi.org/10.1186/s12961-017-0190-z" TargetMode="External"/><Relationship Id="rId5" Type="http://schemas.openxmlformats.org/officeDocument/2006/relationships/hyperlink" Target="https://psycnet.apa.org/doi/10.1037/hea0000725" TargetMode="External"/><Relationship Id="rId15" Type="http://schemas.openxmlformats.org/officeDocument/2006/relationships/hyperlink" Target="https://doi.org/10.1111/j.1365-2834.2012.01380.x" TargetMode="External"/><Relationship Id="rId10" Type="http://schemas.openxmlformats.org/officeDocument/2006/relationships/hyperlink" Target="https://doi.org/10.1016/j.ijnurstu.2020.103673" TargetMode="External"/><Relationship Id="rId4" Type="http://schemas.openxmlformats.org/officeDocument/2006/relationships/webSettings" Target="webSettings.xml"/><Relationship Id="rId9" Type="http://schemas.openxmlformats.org/officeDocument/2006/relationships/hyperlink" Target="https://doi.org/10.4103/CRST.CRST_148_20" TargetMode="External"/><Relationship Id="rId14" Type="http://schemas.openxmlformats.org/officeDocument/2006/relationships/hyperlink" Target="https://doi.org/10.4037/ajcc20141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1475</Words>
  <Characters>8410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dc:creator>
  <cp:keywords/>
  <dc:description/>
  <cp:lastModifiedBy>Net</cp:lastModifiedBy>
  <cp:revision>3</cp:revision>
  <dcterms:created xsi:type="dcterms:W3CDTF">2021-09-24T14:27:00Z</dcterms:created>
  <dcterms:modified xsi:type="dcterms:W3CDTF">2021-09-24T14:27:00Z</dcterms:modified>
</cp:coreProperties>
</file>