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A37" w:rsidRDefault="00643A37" w:rsidP="00643A3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Identification of polymorphisms of </w:t>
      </w:r>
      <w:proofErr w:type="spellStart"/>
      <w:r w:rsidRPr="002D65C3">
        <w:rPr>
          <w:rFonts w:ascii="Times New Roman" w:hAnsi="Times New Roman" w:cs="Times New Roman"/>
          <w:sz w:val="24"/>
          <w:szCs w:val="24"/>
        </w:rPr>
        <w:t>PPAR</w:t>
      </w:r>
      <w:r w:rsidRPr="002D6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γ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gene and key role among SSNS and SRNS in children with nephritic syndrome</w:t>
      </w:r>
    </w:p>
    <w:p w:rsidR="00643A37" w:rsidRPr="002D65C3" w:rsidRDefault="00643A37" w:rsidP="00643A3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D65C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Abstract:</w:t>
      </w:r>
    </w:p>
    <w:p w:rsidR="00643A37" w:rsidRDefault="00643A37" w:rsidP="00643A37">
      <w:pPr>
        <w:jc w:val="both"/>
        <w:rPr>
          <w:rFonts w:ascii="Times New Roman" w:hAnsi="Times New Roman" w:cs="Times New Roman"/>
          <w:sz w:val="24"/>
          <w:szCs w:val="24"/>
        </w:rPr>
      </w:pPr>
      <w:r w:rsidRPr="002D65C3">
        <w:rPr>
          <w:rFonts w:ascii="Times New Roman" w:hAnsi="Times New Roman" w:cs="Times New Roman"/>
          <w:b/>
          <w:sz w:val="24"/>
          <w:szCs w:val="24"/>
        </w:rPr>
        <w:t>Background</w:t>
      </w:r>
      <w:r w:rsidRPr="002D65C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D65C3">
        <w:rPr>
          <w:rFonts w:ascii="Times New Roman" w:hAnsi="Times New Roman" w:cs="Times New Roman"/>
          <w:sz w:val="24"/>
          <w:szCs w:val="24"/>
        </w:rPr>
        <w:t>Peroxisome</w:t>
      </w:r>
      <w:proofErr w:type="spellEnd"/>
      <w:r w:rsidRPr="002D6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5C3">
        <w:rPr>
          <w:rFonts w:ascii="Times New Roman" w:hAnsi="Times New Roman" w:cs="Times New Roman"/>
          <w:sz w:val="24"/>
          <w:szCs w:val="24"/>
        </w:rPr>
        <w:t>proliferator</w:t>
      </w:r>
      <w:proofErr w:type="spellEnd"/>
      <w:r w:rsidRPr="002D65C3">
        <w:rPr>
          <w:rFonts w:ascii="Times New Roman" w:hAnsi="Times New Roman" w:cs="Times New Roman"/>
          <w:sz w:val="24"/>
          <w:szCs w:val="24"/>
        </w:rPr>
        <w:t>-activated receptor gamma (</w:t>
      </w:r>
      <w:r>
        <w:rPr>
          <w:rFonts w:ascii="Newton-Italic" w:hAnsi="Newton-Italic" w:cs="Newton-Italic"/>
          <w:i/>
          <w:iCs/>
        </w:rPr>
        <w:t>Pro12Ala</w:t>
      </w:r>
      <w:r>
        <w:rPr>
          <w:rFonts w:ascii="Newton-Regular" w:hAnsi="Newton-Regular" w:cs="Newton-Regular"/>
        </w:rPr>
        <w:t xml:space="preserve"> </w:t>
      </w:r>
      <w:proofErr w:type="spellStart"/>
      <w:r w:rsidRPr="002D65C3">
        <w:rPr>
          <w:rFonts w:ascii="Times New Roman" w:hAnsi="Times New Roman" w:cs="Times New Roman"/>
          <w:sz w:val="24"/>
          <w:szCs w:val="24"/>
        </w:rPr>
        <w:t>PPAR</w:t>
      </w:r>
      <w:r w:rsidRPr="002D6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γ</w:t>
      </w:r>
      <w:proofErr w:type="spellEnd"/>
      <w:r w:rsidRPr="002D65C3">
        <w:rPr>
          <w:rFonts w:ascii="Times New Roman" w:hAnsi="Times New Roman" w:cs="Times New Roman"/>
          <w:sz w:val="24"/>
          <w:szCs w:val="24"/>
        </w:rPr>
        <w:t xml:space="preserve">) has beneficial effects on renal structure and function in models of diabetes as well as chronic kidney diseases. We studied </w:t>
      </w:r>
      <w:proofErr w:type="spellStart"/>
      <w:r w:rsidRPr="002D65C3">
        <w:rPr>
          <w:rFonts w:ascii="Times New Roman" w:hAnsi="Times New Roman" w:cs="Times New Roman"/>
          <w:sz w:val="24"/>
          <w:szCs w:val="24"/>
        </w:rPr>
        <w:t>PPAR</w:t>
      </w:r>
      <w:r w:rsidRPr="002D6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γ</w:t>
      </w:r>
      <w:proofErr w:type="spellEnd"/>
      <w:r w:rsidRPr="002D65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5C3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Pr="002D65C3">
        <w:rPr>
          <w:rFonts w:ascii="Times New Roman" w:hAnsi="Times New Roman" w:cs="Times New Roman"/>
          <w:sz w:val="24"/>
          <w:szCs w:val="24"/>
        </w:rPr>
        <w:t xml:space="preserve"> syndrome (NS) among children and compared with controls. </w:t>
      </w:r>
      <w:r w:rsidRPr="002D65C3">
        <w:rPr>
          <w:rFonts w:ascii="Times New Roman" w:hAnsi="Times New Roman" w:cs="Times New Roman"/>
          <w:b/>
          <w:sz w:val="24"/>
          <w:szCs w:val="24"/>
        </w:rPr>
        <w:t>Methods</w:t>
      </w:r>
      <w:r w:rsidRPr="002D65C3">
        <w:rPr>
          <w:rFonts w:ascii="Times New Roman" w:hAnsi="Times New Roman" w:cs="Times New Roman"/>
          <w:sz w:val="24"/>
          <w:szCs w:val="24"/>
        </w:rPr>
        <w:t>: This study included NS children which are divided into steroid sensitive NS (SSNS) and steroid resistant NS (SRNS)</w:t>
      </w:r>
      <w:r>
        <w:rPr>
          <w:rFonts w:ascii="Times New Roman" w:hAnsi="Times New Roman" w:cs="Times New Roman"/>
          <w:sz w:val="24"/>
          <w:szCs w:val="24"/>
        </w:rPr>
        <w:t xml:space="preserve"> and controls</w:t>
      </w:r>
      <w:r w:rsidRPr="002D65C3">
        <w:rPr>
          <w:rFonts w:ascii="Times New Roman" w:hAnsi="Times New Roman" w:cs="Times New Roman"/>
          <w:sz w:val="24"/>
          <w:szCs w:val="24"/>
        </w:rPr>
        <w:t xml:space="preserve">. </w:t>
      </w:r>
      <w:r w:rsidRPr="00C53323">
        <w:rPr>
          <w:rFonts w:ascii="Times New Roman" w:hAnsi="Times New Roman" w:cs="Times New Roman"/>
          <w:b/>
          <w:sz w:val="24"/>
          <w:szCs w:val="24"/>
        </w:rPr>
        <w:t>Results</w:t>
      </w:r>
      <w:r w:rsidRPr="00C53323">
        <w:rPr>
          <w:rFonts w:ascii="Times New Roman" w:hAnsi="Times New Roman" w:cs="Times New Roman"/>
          <w:sz w:val="24"/>
          <w:szCs w:val="24"/>
        </w:rPr>
        <w:t>: A total of 173 NS children were included in this study</w:t>
      </w:r>
      <w:r>
        <w:rPr>
          <w:rFonts w:ascii="Times New Roman" w:hAnsi="Times New Roman" w:cs="Times New Roman"/>
          <w:sz w:val="24"/>
          <w:szCs w:val="24"/>
        </w:rPr>
        <w:t xml:space="preserve"> (69.4%,</w:t>
      </w:r>
      <w:r w:rsidRPr="00C533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30.6 were male and</w:t>
      </w:r>
      <w:r w:rsidRPr="00C53323">
        <w:rPr>
          <w:rFonts w:ascii="Times New Roman" w:hAnsi="Times New Roman" w:cs="Times New Roman"/>
          <w:sz w:val="24"/>
          <w:szCs w:val="24"/>
        </w:rPr>
        <w:t xml:space="preserve"> female</w:t>
      </w:r>
      <w:r>
        <w:rPr>
          <w:rFonts w:ascii="Times New Roman" w:hAnsi="Times New Roman" w:cs="Times New Roman"/>
          <w:sz w:val="24"/>
          <w:szCs w:val="24"/>
        </w:rPr>
        <w:t xml:space="preserve"> respectively). And a total of 198 were included as controls (60.6%, 39.4% and were male and </w:t>
      </w:r>
      <w:r w:rsidRPr="00C53323">
        <w:rPr>
          <w:rFonts w:ascii="Times New Roman" w:hAnsi="Times New Roman" w:cs="Times New Roman"/>
          <w:sz w:val="24"/>
          <w:szCs w:val="24"/>
        </w:rPr>
        <w:t>females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5332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Children with same age were selected for 1-15 years. </w:t>
      </w:r>
    </w:p>
    <w:p w:rsidR="00643A37" w:rsidRDefault="00643A37" w:rsidP="00643A3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AB">
        <w:rPr>
          <w:rFonts w:ascii="Times New Roman" w:hAnsi="Times New Roman" w:cs="Times New Roman"/>
          <w:sz w:val="24"/>
          <w:szCs w:val="24"/>
        </w:rPr>
        <w:t xml:space="preserve">Family history was observed 69.4% </w:t>
      </w:r>
      <w:r>
        <w:rPr>
          <w:rFonts w:ascii="Times New Roman" w:hAnsi="Times New Roman" w:cs="Times New Roman"/>
          <w:sz w:val="24"/>
          <w:szCs w:val="24"/>
        </w:rPr>
        <w:t>among this 52% were SRNS and</w:t>
      </w:r>
      <w:r w:rsidRPr="00F078AB">
        <w:rPr>
          <w:rFonts w:ascii="Times New Roman" w:hAnsi="Times New Roman" w:cs="Times New Roman"/>
          <w:sz w:val="24"/>
          <w:szCs w:val="24"/>
        </w:rPr>
        <w:t xml:space="preserve"> 56.6% were </w:t>
      </w:r>
      <w:r>
        <w:rPr>
          <w:rFonts w:ascii="Times New Roman" w:hAnsi="Times New Roman" w:cs="Times New Roman"/>
          <w:sz w:val="24"/>
          <w:szCs w:val="24"/>
        </w:rPr>
        <w:t xml:space="preserve">found </w:t>
      </w:r>
      <w:r w:rsidRPr="00F078AB">
        <w:rPr>
          <w:rFonts w:ascii="Times New Roman" w:hAnsi="Times New Roman" w:cs="Times New Roman"/>
          <w:sz w:val="24"/>
          <w:szCs w:val="24"/>
        </w:rPr>
        <w:t>remission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78AB">
        <w:rPr>
          <w:rFonts w:ascii="Times New Roman" w:hAnsi="Times New Roman" w:cs="Times New Roman"/>
          <w:sz w:val="24"/>
          <w:szCs w:val="24"/>
        </w:rPr>
        <w:t xml:space="preserve"> Genotypes of AA, PA, PP were 9.8%, 32.9% and 57.2% were cases and 4.5%, 26.8% and 69% were controls.</w:t>
      </w:r>
      <w:r>
        <w:rPr>
          <w:rFonts w:ascii="Times New Roman" w:hAnsi="Times New Roman" w:cs="Times New Roman"/>
          <w:sz w:val="24"/>
          <w:szCs w:val="24"/>
        </w:rPr>
        <w:t xml:space="preserve"> Allele frequency of P were p= 0.741 and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allele were 0.754</w:t>
      </w:r>
      <w:r w:rsidRPr="000B2E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among male and female (control 1.000) and P were 0.741. In the age &lt; 6 and &gt; 6 years P and A were p=0.030 and 0.724 (control 1.000 and 0.876) respectively.</w:t>
      </w:r>
    </w:p>
    <w:p w:rsidR="00643A37" w:rsidRDefault="00643A37" w:rsidP="00643A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B7C42">
        <w:rPr>
          <w:rFonts w:ascii="Newton-Italic" w:hAnsi="Newton-Italic" w:cs="Newton-Italic"/>
          <w:b/>
          <w:iCs/>
        </w:rPr>
        <w:t>Conclusion</w:t>
      </w:r>
      <w:r>
        <w:rPr>
          <w:rFonts w:ascii="Newton-Italic" w:hAnsi="Newton-Italic" w:cs="Newton-Italic"/>
          <w:i/>
          <w:iCs/>
        </w:rPr>
        <w:t xml:space="preserve">: </w:t>
      </w:r>
      <w:r>
        <w:rPr>
          <w:rFonts w:ascii="Newton-Italic" w:hAnsi="Newton-Italic" w:cs="Newton-Italic"/>
          <w:iCs/>
        </w:rPr>
        <w:t xml:space="preserve">Among children with </w:t>
      </w:r>
      <w:r>
        <w:rPr>
          <w:rFonts w:ascii="Newton-Italic" w:hAnsi="Newton-Italic" w:cs="Newton-Italic"/>
          <w:i/>
          <w:iCs/>
        </w:rPr>
        <w:t>Pro12Ala</w:t>
      </w:r>
      <w:r>
        <w:rPr>
          <w:rFonts w:ascii="Newton-Regular" w:hAnsi="Newton-Regular" w:cs="Newton-Regular"/>
        </w:rPr>
        <w:t xml:space="preserve"> of the </w:t>
      </w:r>
      <w:r>
        <w:rPr>
          <w:rFonts w:ascii="Newton-Italic" w:hAnsi="Newton-Italic" w:cs="Newton-Italic"/>
          <w:i/>
          <w:iCs/>
        </w:rPr>
        <w:t xml:space="preserve">PPARG2 </w:t>
      </w:r>
      <w:r>
        <w:rPr>
          <w:rFonts w:ascii="Newton-Regular" w:hAnsi="Newton-Regular" w:cs="Newton-Regular"/>
        </w:rPr>
        <w:t>gene polymorphism of P allele is associated with the risk of nephritic syndrome in children.</w:t>
      </w:r>
    </w:p>
    <w:p w:rsidR="00643A37" w:rsidRDefault="00643A37" w:rsidP="00643A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3A37" w:rsidRDefault="00643A37" w:rsidP="00643A37">
      <w:pPr>
        <w:jc w:val="both"/>
        <w:rPr>
          <w:rFonts w:ascii="Times New Roman" w:hAnsi="Times New Roman" w:cs="Times New Roman"/>
          <w:sz w:val="24"/>
          <w:szCs w:val="24"/>
        </w:rPr>
      </w:pPr>
      <w:r w:rsidRPr="002468F6">
        <w:rPr>
          <w:rFonts w:ascii="Times New Roman" w:hAnsi="Times New Roman" w:cs="Times New Roman"/>
          <w:sz w:val="24"/>
          <w:szCs w:val="24"/>
        </w:rPr>
        <w:t xml:space="preserve"> Keywords: </w:t>
      </w:r>
      <w:proofErr w:type="spellStart"/>
      <w:r w:rsidRPr="002468F6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Pr="002468F6">
        <w:rPr>
          <w:rFonts w:ascii="Times New Roman" w:hAnsi="Times New Roman" w:cs="Times New Roman"/>
          <w:sz w:val="24"/>
          <w:szCs w:val="24"/>
        </w:rPr>
        <w:t xml:space="preserve"> Syndrome; </w:t>
      </w:r>
      <w:proofErr w:type="spellStart"/>
      <w:r w:rsidRPr="002468F6">
        <w:rPr>
          <w:rFonts w:ascii="Times New Roman" w:hAnsi="Times New Roman" w:cs="Times New Roman"/>
          <w:sz w:val="24"/>
          <w:szCs w:val="24"/>
        </w:rPr>
        <w:t>PPAR</w:t>
      </w:r>
      <w:r w:rsidRPr="002468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γ</w:t>
      </w:r>
      <w:proofErr w:type="spellEnd"/>
      <w:r w:rsidRPr="002468F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SSNS; SRNS; Allele frequencies. </w:t>
      </w:r>
    </w:p>
    <w:p w:rsidR="00326A83" w:rsidRDefault="00326A83"/>
    <w:sectPr w:rsidR="00326A83" w:rsidSect="00326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-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-Regular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3A37"/>
    <w:rsid w:val="000B5A58"/>
    <w:rsid w:val="00326A83"/>
    <w:rsid w:val="00643A37"/>
    <w:rsid w:val="00794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A37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2018-05-15T07:17:00Z</dcterms:created>
  <dcterms:modified xsi:type="dcterms:W3CDTF">2018-05-15T07:18:00Z</dcterms:modified>
</cp:coreProperties>
</file>