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Pr="00B03DB8" w:rsidRDefault="00D253DB" w:rsidP="007B6E23">
      <w:pPr>
        <w:keepNext/>
        <w:rPr>
          <w:rFonts w:eastAsia="MS PGothic"/>
          <w:b/>
          <w:color w:val="0000FF"/>
          <w:sz w:val="22"/>
          <w:szCs w:val="22"/>
        </w:rPr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342pt;margin-top:-35.25pt;width:140.25pt;height:165.75pt;z-index:251657728" arcsize="10134f" strokecolor="#9bbb59" strokeweight="2.5pt">
            <v:shadow color="#868686"/>
            <v:textbox style="mso-next-textbox:#_x0000_s1027">
              <w:txbxContent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Pr="00B03DB8" w:rsidRDefault="003D743D">
                  <w:pPr>
                    <w:rPr>
                      <w:b/>
                      <w:color w:val="0000FF"/>
                      <w:lang w:val="en-IN"/>
                    </w:rPr>
                  </w:pPr>
                  <w:r w:rsidRPr="003D743D">
                    <w:rPr>
                      <w:noProof/>
                      <w:lang w:eastAsia="en-US"/>
                    </w:rPr>
                    <w:drawing>
                      <wp:inline distT="0" distB="0" distL="0" distR="0" wp14:anchorId="1ECA0437" wp14:editId="4710629C">
                        <wp:extent cx="1452245" cy="1522840"/>
                        <wp:effectExtent l="0" t="0" r="0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2245" cy="1522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7B6E23">
        <w:rPr>
          <w:noProof/>
          <w:lang w:eastAsia="en-US"/>
        </w:rPr>
        <w:drawing>
          <wp:inline distT="0" distB="0" distL="0" distR="0" wp14:anchorId="73570E0E" wp14:editId="6DC333A2">
            <wp:extent cx="1298575" cy="17557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175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F61EB"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1F581E" w:rsidRDefault="00074C9C" w:rsidP="001F581E">
      <w:pPr>
        <w:autoSpaceDE w:val="0"/>
        <w:autoSpaceDN w:val="0"/>
        <w:adjustRightInd w:val="0"/>
        <w:rPr>
          <w:rFonts w:ascii="Tahoma-Bold" w:eastAsia="Calibri" w:hAnsi="Tahoma-Bold" w:cs="Tahoma-Bold"/>
          <w:b/>
          <w:bCs/>
          <w:sz w:val="32"/>
          <w:szCs w:val="32"/>
          <w:lang w:eastAsia="en-US"/>
        </w:rPr>
      </w:pPr>
      <w:r w:rsidRPr="00327F9B">
        <w:rPr>
          <w:rFonts w:eastAsia="MS PGothic"/>
          <w:b/>
          <w:color w:val="000000"/>
          <w:sz w:val="28"/>
          <w:szCs w:val="28"/>
        </w:rPr>
        <w:t>Title</w:t>
      </w:r>
      <w:r w:rsidRPr="003B12D1">
        <w:rPr>
          <w:rFonts w:eastAsia="MS PGothic"/>
          <w:b/>
          <w:color w:val="000000"/>
          <w:sz w:val="28"/>
          <w:szCs w:val="28"/>
        </w:rPr>
        <w:t xml:space="preserve">: </w:t>
      </w:r>
      <w:r w:rsidR="001F581E" w:rsidRPr="003B12D1">
        <w:rPr>
          <w:rFonts w:eastAsia="Calibri"/>
          <w:b/>
          <w:bCs/>
          <w:sz w:val="28"/>
          <w:szCs w:val="28"/>
          <w:lang w:eastAsia="en-US"/>
        </w:rPr>
        <w:t xml:space="preserve">Anti-human leukocyte antigen </w:t>
      </w:r>
      <w:r w:rsidR="001F581E" w:rsidRPr="003B12D1">
        <w:rPr>
          <w:rFonts w:eastAsia="Calibri"/>
          <w:b/>
          <w:bCs/>
          <w:sz w:val="28"/>
          <w:szCs w:val="28"/>
          <w:lang w:eastAsia="en-US"/>
        </w:rPr>
        <w:t>antibody analysis</w:t>
      </w:r>
      <w:r w:rsidR="001F581E" w:rsidRPr="003B12D1">
        <w:rPr>
          <w:rFonts w:eastAsia="Calibri"/>
          <w:b/>
          <w:bCs/>
          <w:sz w:val="28"/>
          <w:szCs w:val="28"/>
          <w:lang w:eastAsia="en-US"/>
        </w:rPr>
        <w:t xml:space="preserve"> and structural aspects of Class I epitopes reacting with human </w:t>
      </w:r>
      <w:proofErr w:type="spellStart"/>
      <w:r w:rsidR="001F581E" w:rsidRPr="003B12D1">
        <w:rPr>
          <w:rFonts w:eastAsia="Calibri"/>
          <w:b/>
          <w:bCs/>
          <w:sz w:val="28"/>
          <w:szCs w:val="28"/>
          <w:lang w:eastAsia="en-US"/>
        </w:rPr>
        <w:t>alloantiserum</w:t>
      </w:r>
      <w:proofErr w:type="spellEnd"/>
      <w:r w:rsidR="001F581E" w:rsidRPr="003B12D1">
        <w:rPr>
          <w:rFonts w:eastAsia="Calibri"/>
          <w:b/>
          <w:bCs/>
          <w:sz w:val="28"/>
          <w:szCs w:val="28"/>
          <w:lang w:eastAsia="en-US"/>
        </w:rPr>
        <w:t>.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1F581E">
        <w:rPr>
          <w:rFonts w:eastAsia="MS PGothic" w:hAnsi="Arial"/>
          <w:color w:val="000000"/>
        </w:rPr>
        <w:t>Name: Andrew L, Lobashevsky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proofErr w:type="spellStart"/>
      <w:r w:rsidR="001F581E">
        <w:rPr>
          <w:rFonts w:eastAsia="MS PGothic" w:hAnsi="Arial"/>
          <w:color w:val="000000"/>
        </w:rPr>
        <w:t>IUHealth</w:t>
      </w:r>
      <w:proofErr w:type="spellEnd"/>
      <w:r w:rsidR="001F581E">
        <w:rPr>
          <w:rFonts w:eastAsia="MS PGothic" w:hAnsi="Arial"/>
          <w:color w:val="000000"/>
        </w:rPr>
        <w:t xml:space="preserve"> Inc., Indiana University, Indianapolis, IN. USA</w:t>
      </w:r>
    </w:p>
    <w:p w:rsidR="00DC433A" w:rsidRPr="00D81022" w:rsidRDefault="00DC433A" w:rsidP="003B12D1">
      <w:pPr>
        <w:jc w:val="center"/>
        <w:rPr>
          <w:color w:val="0000FF"/>
          <w:sz w:val="36"/>
          <w:szCs w:val="36"/>
        </w:rPr>
      </w:pPr>
    </w:p>
    <w:p w:rsidR="003B12D1" w:rsidRPr="003B12D1" w:rsidRDefault="001F581E" w:rsidP="003B12D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3B12D1">
        <w:rPr>
          <w:rFonts w:eastAsia="Calibri"/>
          <w:lang w:eastAsia="en-US"/>
        </w:rPr>
        <w:t>Donor human leukocyte antigen (HLA)-specific antibodies</w:t>
      </w:r>
      <w:r w:rsidRPr="003B12D1">
        <w:rPr>
          <w:rFonts w:eastAsia="Calibri"/>
          <w:lang w:eastAsia="en-US"/>
        </w:rPr>
        <w:t xml:space="preserve"> </w:t>
      </w:r>
      <w:r w:rsidRPr="003B12D1">
        <w:rPr>
          <w:rFonts w:eastAsia="Calibri"/>
          <w:lang w:eastAsia="en-US"/>
        </w:rPr>
        <w:t xml:space="preserve">(DSA) play an important role </w:t>
      </w:r>
      <w:r w:rsidRPr="003B12D1">
        <w:rPr>
          <w:rFonts w:eastAsia="Calibri"/>
          <w:lang w:eastAsia="en-US"/>
        </w:rPr>
        <w:t xml:space="preserve">in solid organ transplantation. </w:t>
      </w:r>
      <w:r w:rsidRPr="003B12D1">
        <w:rPr>
          <w:rFonts w:eastAsia="Calibri"/>
          <w:lang w:eastAsia="en-US"/>
        </w:rPr>
        <w:t>Preexisting</w:t>
      </w:r>
      <w:r w:rsidRPr="003B12D1">
        <w:rPr>
          <w:rFonts w:eastAsia="Calibri"/>
          <w:lang w:eastAsia="en-US"/>
        </w:rPr>
        <w:t xml:space="preserve"> IgG </w:t>
      </w:r>
      <w:proofErr w:type="spellStart"/>
      <w:r w:rsidRPr="003B12D1">
        <w:rPr>
          <w:rFonts w:eastAsia="Calibri"/>
          <w:lang w:eastAsia="en-US"/>
        </w:rPr>
        <w:t>isotype</w:t>
      </w:r>
      <w:proofErr w:type="spellEnd"/>
      <w:r w:rsidRPr="003B12D1">
        <w:rPr>
          <w:rFonts w:eastAsia="Calibri"/>
          <w:lang w:eastAsia="en-US"/>
        </w:rPr>
        <w:t xml:space="preserve"> DSA are considered </w:t>
      </w:r>
      <w:r w:rsidRPr="003B12D1">
        <w:rPr>
          <w:rFonts w:eastAsia="Calibri"/>
          <w:lang w:eastAsia="en-US"/>
        </w:rPr>
        <w:t>a risk factor for ant</w:t>
      </w:r>
      <w:r w:rsidR="003B12D1">
        <w:rPr>
          <w:rFonts w:eastAsia="Calibri"/>
          <w:lang w:eastAsia="en-US"/>
        </w:rPr>
        <w:t xml:space="preserve">ibody mediated rejection, graft </w:t>
      </w:r>
      <w:r w:rsidRPr="003B12D1">
        <w:rPr>
          <w:rFonts w:eastAsia="Calibri"/>
          <w:lang w:eastAsia="en-US"/>
        </w:rPr>
        <w:t xml:space="preserve">failure or graft loss. </w:t>
      </w:r>
      <w:r w:rsidR="003B12D1" w:rsidRPr="003B12D1">
        <w:rPr>
          <w:rFonts w:eastAsia="Calibri"/>
          <w:lang w:eastAsia="en-US"/>
        </w:rPr>
        <w:t xml:space="preserve">The post-transplant development </w:t>
      </w:r>
      <w:r w:rsidRPr="003B12D1">
        <w:rPr>
          <w:rFonts w:eastAsia="Calibri"/>
          <w:lang w:eastAsia="en-US"/>
        </w:rPr>
        <w:t>of DSA depends on multiple f</w:t>
      </w:r>
      <w:r w:rsidR="003B12D1" w:rsidRPr="003B12D1">
        <w:rPr>
          <w:rFonts w:eastAsia="Calibri"/>
          <w:lang w:eastAsia="en-US"/>
        </w:rPr>
        <w:t xml:space="preserve">actors including immunogenicity </w:t>
      </w:r>
      <w:r w:rsidRPr="003B12D1">
        <w:rPr>
          <w:rFonts w:eastAsia="Calibri"/>
          <w:lang w:eastAsia="en-US"/>
        </w:rPr>
        <w:t xml:space="preserve">of mismatched antigens, HLA class </w:t>
      </w:r>
      <w:r w:rsidRPr="003B12D1">
        <w:rPr>
          <w:rFonts w:ascii="MS Mincho" w:eastAsia="MS Mincho" w:hAnsi="MS Mincho" w:cs="MS Mincho" w:hint="eastAsia"/>
          <w:lang w:eastAsia="en-US"/>
        </w:rPr>
        <w:t>Ⅱ</w:t>
      </w:r>
      <w:r w:rsidRPr="003B12D1">
        <w:rPr>
          <w:rFonts w:eastAsia="KozMinPro-Regular"/>
          <w:lang w:eastAsia="en-US"/>
        </w:rPr>
        <w:t xml:space="preserve"> </w:t>
      </w:r>
      <w:r w:rsidR="003B12D1" w:rsidRPr="003B12D1">
        <w:rPr>
          <w:rFonts w:eastAsia="Calibri"/>
          <w:lang w:eastAsia="en-US"/>
        </w:rPr>
        <w:t xml:space="preserve">typing of </w:t>
      </w:r>
      <w:r w:rsidRPr="003B12D1">
        <w:rPr>
          <w:rFonts w:eastAsia="Calibri"/>
          <w:lang w:eastAsia="en-US"/>
        </w:rPr>
        <w:t>the recipient, cytokine gene polymorphisms</w:t>
      </w:r>
      <w:r w:rsidR="003B12D1" w:rsidRPr="003B12D1">
        <w:rPr>
          <w:rFonts w:eastAsia="Calibri"/>
          <w:lang w:eastAsia="en-US"/>
        </w:rPr>
        <w:t xml:space="preserve">, and cellular </w:t>
      </w:r>
      <w:proofErr w:type="spellStart"/>
      <w:r w:rsidRPr="003B12D1">
        <w:rPr>
          <w:rFonts w:eastAsia="Calibri"/>
          <w:lang w:eastAsia="en-US"/>
        </w:rPr>
        <w:t>immunoregulatory</w:t>
      </w:r>
      <w:proofErr w:type="spellEnd"/>
      <w:r w:rsidRPr="003B12D1">
        <w:rPr>
          <w:rFonts w:eastAsia="Calibri"/>
          <w:lang w:eastAsia="en-US"/>
        </w:rPr>
        <w:t xml:space="preserve"> mechanisms. </w:t>
      </w:r>
    </w:p>
    <w:p w:rsidR="00363668" w:rsidRPr="003B12D1" w:rsidRDefault="003B12D1" w:rsidP="003B12D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3B12D1">
        <w:t xml:space="preserve"> Interaction between complemen</w:t>
      </w:r>
      <w:r>
        <w:t>tarity determining regions</w:t>
      </w:r>
      <w:r w:rsidRPr="003B12D1">
        <w:t xml:space="preserve"> </w:t>
      </w:r>
      <w:r>
        <w:t>of the antibody and HLA</w:t>
      </w:r>
      <w:r w:rsidRPr="003B12D1">
        <w:t xml:space="preserve"> can be detected by m</w:t>
      </w:r>
      <w:r>
        <w:t>ean fluorescence intensity or lysis of cell membrane through activation of complement</w:t>
      </w:r>
      <w:r w:rsidRPr="003B12D1">
        <w:t>. These biological functions of alloantibodies strictly de</w:t>
      </w:r>
      <w:r>
        <w:t>pend on amino acid residue</w:t>
      </w:r>
      <w:r w:rsidRPr="003B12D1">
        <w:t xml:space="preserve"> </w:t>
      </w:r>
      <w:bookmarkStart w:id="0" w:name="_GoBack"/>
      <w:bookmarkEnd w:id="0"/>
      <w:r w:rsidRPr="003B12D1">
        <w:t xml:space="preserve">composition of functional and structural epitopes of the antigen. </w:t>
      </w:r>
      <w:r w:rsidR="001F581E" w:rsidRPr="003B12D1">
        <w:rPr>
          <w:rFonts w:eastAsia="Calibri"/>
          <w:i/>
          <w:lang w:eastAsia="en-US"/>
        </w:rPr>
        <w:t>De novo</w:t>
      </w:r>
      <w:r w:rsidR="001F581E" w:rsidRPr="003B12D1">
        <w:rPr>
          <w:rFonts w:eastAsia="Calibri"/>
          <w:lang w:eastAsia="en-US"/>
        </w:rPr>
        <w:t xml:space="preserve"> </w:t>
      </w:r>
      <w:r w:rsidRPr="003B12D1">
        <w:rPr>
          <w:rFonts w:eastAsia="Calibri"/>
          <w:lang w:eastAsia="en-US"/>
        </w:rPr>
        <w:t xml:space="preserve">developed </w:t>
      </w:r>
      <w:r w:rsidR="001F581E" w:rsidRPr="003B12D1">
        <w:rPr>
          <w:rFonts w:eastAsia="Calibri"/>
          <w:lang w:eastAsia="en-US"/>
        </w:rPr>
        <w:t>antibodies require specia</w:t>
      </w:r>
      <w:r w:rsidRPr="003B12D1">
        <w:rPr>
          <w:rFonts w:eastAsia="Calibri"/>
          <w:lang w:eastAsia="en-US"/>
        </w:rPr>
        <w:t xml:space="preserve">l attention because not all DSA </w:t>
      </w:r>
      <w:r w:rsidR="001F581E" w:rsidRPr="003B12D1">
        <w:rPr>
          <w:rFonts w:eastAsia="Calibri"/>
          <w:lang w:eastAsia="en-US"/>
        </w:rPr>
        <w:t>have equal clinical significa</w:t>
      </w:r>
      <w:r w:rsidRPr="003B12D1">
        <w:rPr>
          <w:rFonts w:eastAsia="Calibri"/>
          <w:lang w:eastAsia="en-US"/>
        </w:rPr>
        <w:t xml:space="preserve">nce. Therefore, it is important </w:t>
      </w:r>
      <w:r w:rsidR="001F581E" w:rsidRPr="003B12D1">
        <w:rPr>
          <w:rFonts w:eastAsia="Calibri"/>
          <w:lang w:eastAsia="en-US"/>
        </w:rPr>
        <w:t>for transplant clinicia</w:t>
      </w:r>
      <w:r w:rsidRPr="003B12D1">
        <w:rPr>
          <w:rFonts w:eastAsia="Calibri"/>
          <w:lang w:eastAsia="en-US"/>
        </w:rPr>
        <w:t xml:space="preserve">ns and transplant immunologists </w:t>
      </w:r>
      <w:r w:rsidR="001F581E" w:rsidRPr="003B12D1">
        <w:rPr>
          <w:rFonts w:eastAsia="Calibri"/>
          <w:lang w:eastAsia="en-US"/>
        </w:rPr>
        <w:t>to accurately charact</w:t>
      </w:r>
      <w:r>
        <w:rPr>
          <w:rFonts w:eastAsia="Calibri"/>
          <w:lang w:eastAsia="en-US"/>
        </w:rPr>
        <w:t>erize DSA. In this talk</w:t>
      </w:r>
      <w:r w:rsidRPr="003B12D1">
        <w:rPr>
          <w:rFonts w:eastAsia="Calibri"/>
          <w:lang w:eastAsia="en-US"/>
        </w:rPr>
        <w:t xml:space="preserve"> the </w:t>
      </w:r>
      <w:r w:rsidR="001F581E" w:rsidRPr="003B12D1">
        <w:rPr>
          <w:rFonts w:eastAsia="Calibri"/>
          <w:lang w:eastAsia="en-US"/>
        </w:rPr>
        <w:t>contemporary immunol</w:t>
      </w:r>
      <w:r w:rsidRPr="003B12D1">
        <w:rPr>
          <w:rFonts w:eastAsia="Calibri"/>
          <w:lang w:eastAsia="en-US"/>
        </w:rPr>
        <w:t xml:space="preserve">ogical techniques for detection </w:t>
      </w:r>
      <w:r w:rsidR="001F581E" w:rsidRPr="003B12D1">
        <w:rPr>
          <w:rFonts w:eastAsia="Calibri"/>
          <w:lang w:eastAsia="en-US"/>
        </w:rPr>
        <w:t>and characterization o</w:t>
      </w:r>
      <w:r w:rsidRPr="003B12D1">
        <w:rPr>
          <w:rFonts w:eastAsia="Calibri"/>
          <w:lang w:eastAsia="en-US"/>
        </w:rPr>
        <w:t xml:space="preserve">f anti-HLA antibodies and their </w:t>
      </w:r>
      <w:r>
        <w:rPr>
          <w:rFonts w:eastAsia="Calibri"/>
          <w:lang w:eastAsia="en-US"/>
        </w:rPr>
        <w:t>pitfalls are presented</w:t>
      </w:r>
      <w:r w:rsidR="001F581E" w:rsidRPr="003B12D1">
        <w:rPr>
          <w:rFonts w:eastAsia="Calibri"/>
          <w:lang w:eastAsia="en-US"/>
        </w:rPr>
        <w:t>.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253DB" w:rsidP="007D233A">
      <w:pPr>
        <w:jc w:val="both"/>
      </w:pPr>
      <w:r>
        <w:t>Dr. Andrew Lobashevsky has completed his</w:t>
      </w:r>
      <w:r w:rsidR="00D841B1">
        <w:t xml:space="preserve"> </w:t>
      </w:r>
      <w:r w:rsidR="00A50C1E">
        <w:t>PhD</w:t>
      </w:r>
      <w:r>
        <w:t xml:space="preserve"> at the age of 27</w:t>
      </w:r>
      <w:r w:rsidR="00D841B1">
        <w:t xml:space="preserve"> years from </w:t>
      </w:r>
      <w:r>
        <w:t>Moscow Medical Academy, Russia</w:t>
      </w:r>
      <w:r w:rsidR="00D841B1">
        <w:t xml:space="preserve"> and po</w:t>
      </w:r>
      <w:r>
        <w:t>stdoctoral studies from</w:t>
      </w:r>
      <w:r w:rsidR="00D841B1">
        <w:t xml:space="preserve"> University </w:t>
      </w:r>
      <w:r>
        <w:t>of Tennessee at Memphis</w:t>
      </w:r>
      <w:r w:rsidR="00D841B1">
        <w:t>.</w:t>
      </w:r>
      <w:r w:rsidR="00B17C38">
        <w:t xml:space="preserve"> He is the </w:t>
      </w:r>
      <w:r w:rsidR="008A667E">
        <w:t>associate professor</w:t>
      </w:r>
      <w:r>
        <w:t xml:space="preserve"> and </w:t>
      </w:r>
      <w:r w:rsidR="00B17C38">
        <w:t>director</w:t>
      </w:r>
      <w:r>
        <w:t xml:space="preserve"> histocompatibility and transplant Immunology laboratory at Indiana University and </w:t>
      </w:r>
      <w:proofErr w:type="spellStart"/>
      <w:r>
        <w:t>IUHealth</w:t>
      </w:r>
      <w:proofErr w:type="spellEnd"/>
      <w:r>
        <w:t xml:space="preserve"> Inc</w:t>
      </w:r>
      <w:r w:rsidR="00B17C38">
        <w:t>.</w:t>
      </w:r>
      <w:r w:rsidR="00F848FD">
        <w:t xml:space="preserve"> He</w:t>
      </w:r>
      <w:r>
        <w:t xml:space="preserve"> has published more than </w:t>
      </w:r>
      <w:r w:rsidR="00F848FD">
        <w:t>5</w:t>
      </w:r>
      <w:r>
        <w:t>0</w:t>
      </w:r>
      <w:r w:rsidR="00F848FD">
        <w:t xml:space="preserve"> papers in</w:t>
      </w:r>
      <w:r w:rsidR="0031455A">
        <w:t xml:space="preserve"> reputed journals and has been serving as an editorial board member of </w:t>
      </w:r>
      <w:r>
        <w:t xml:space="preserve">2 </w:t>
      </w:r>
      <w:r w:rsidR="0031455A">
        <w:t>repute</w:t>
      </w:r>
      <w:r>
        <w:t xml:space="preserve"> journals</w:t>
      </w:r>
      <w:r w:rsidR="0031455A">
        <w:t>.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aho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ozMinPro-Regular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605F8"/>
    <w:rsid w:val="00012CCA"/>
    <w:rsid w:val="0002392A"/>
    <w:rsid w:val="00074C9C"/>
    <w:rsid w:val="000D6718"/>
    <w:rsid w:val="001B06AE"/>
    <w:rsid w:val="001F581E"/>
    <w:rsid w:val="00265E72"/>
    <w:rsid w:val="002C359D"/>
    <w:rsid w:val="002C3D9B"/>
    <w:rsid w:val="0031455A"/>
    <w:rsid w:val="00363668"/>
    <w:rsid w:val="00384441"/>
    <w:rsid w:val="003A3C5A"/>
    <w:rsid w:val="003A7112"/>
    <w:rsid w:val="003B12D1"/>
    <w:rsid w:val="003D743D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B6E23"/>
    <w:rsid w:val="007D00E7"/>
    <w:rsid w:val="007D233A"/>
    <w:rsid w:val="007D5AD0"/>
    <w:rsid w:val="007D65C7"/>
    <w:rsid w:val="008747F9"/>
    <w:rsid w:val="008A667E"/>
    <w:rsid w:val="008D3A94"/>
    <w:rsid w:val="008E2F78"/>
    <w:rsid w:val="008E737B"/>
    <w:rsid w:val="00912F54"/>
    <w:rsid w:val="009E52D9"/>
    <w:rsid w:val="00A4183E"/>
    <w:rsid w:val="00A50C1E"/>
    <w:rsid w:val="00A55744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253DB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customStyle="1" w:styleId="Default">
    <w:name w:val="Default"/>
    <w:rsid w:val="003B12D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Lobashevsky, Andrew</cp:lastModifiedBy>
  <cp:revision>10</cp:revision>
  <dcterms:created xsi:type="dcterms:W3CDTF">2014-02-12T16:25:00Z</dcterms:created>
  <dcterms:modified xsi:type="dcterms:W3CDTF">2018-07-09T19:40:00Z</dcterms:modified>
</cp:coreProperties>
</file>