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15C" w:rsidRDefault="00F1615C" w:rsidP="00F1615C">
      <w:pPr>
        <w:spacing w:line="360" w:lineRule="auto"/>
        <w:rPr>
          <w:u w:val="single"/>
        </w:rPr>
      </w:pPr>
    </w:p>
    <w:p w:rsidR="00F1615C" w:rsidRDefault="00F1615C" w:rsidP="00F1615C">
      <w:pPr>
        <w:rPr>
          <w:b/>
          <w:bCs/>
          <w:color w:val="auto"/>
        </w:rPr>
      </w:pPr>
      <w:r w:rsidRPr="00A121E7">
        <w:rPr>
          <w:b/>
          <w:bCs/>
          <w:color w:val="auto"/>
        </w:rPr>
        <w:t xml:space="preserve">Title: Correlation of </w:t>
      </w:r>
      <w:proofErr w:type="spellStart"/>
      <w:r w:rsidRPr="00A121E7">
        <w:rPr>
          <w:b/>
          <w:bCs/>
          <w:color w:val="auto"/>
        </w:rPr>
        <w:t>neutrophil</w:t>
      </w:r>
      <w:proofErr w:type="spellEnd"/>
      <w:r w:rsidRPr="00A121E7">
        <w:rPr>
          <w:b/>
          <w:bCs/>
          <w:color w:val="auto"/>
        </w:rPr>
        <w:t xml:space="preserve"> CD 64 with clinical profile and outcome of sepsis patients during ICU stay</w:t>
      </w:r>
    </w:p>
    <w:p w:rsidR="00F1615C" w:rsidRDefault="00F1615C" w:rsidP="00F1615C">
      <w:pPr>
        <w:spacing w:line="360" w:lineRule="auto"/>
      </w:pPr>
      <w:r>
        <w:rPr>
          <w:u w:val="single"/>
        </w:rPr>
        <w:t xml:space="preserve">Dr Afzal Azim, </w:t>
      </w:r>
      <w:r>
        <w:t xml:space="preserve">Dr </w:t>
      </w:r>
      <w:proofErr w:type="spellStart"/>
      <w:r>
        <w:t>Pralay</w:t>
      </w:r>
      <w:proofErr w:type="spellEnd"/>
      <w:r>
        <w:t xml:space="preserve"> </w:t>
      </w:r>
      <w:proofErr w:type="spellStart"/>
      <w:r>
        <w:t>Ghosh</w:t>
      </w:r>
      <w:proofErr w:type="spellEnd"/>
      <w:r>
        <w:t xml:space="preserve">, Dr </w:t>
      </w:r>
      <w:proofErr w:type="spellStart"/>
      <w:r>
        <w:t>Vikas</w:t>
      </w:r>
      <w:proofErr w:type="spellEnd"/>
      <w:r>
        <w:t xml:space="preserve"> </w:t>
      </w:r>
      <w:proofErr w:type="spellStart"/>
      <w:r>
        <w:t>Aggarwal</w:t>
      </w:r>
      <w:proofErr w:type="spellEnd"/>
      <w:r>
        <w:t xml:space="preserve">, Dr </w:t>
      </w:r>
      <w:proofErr w:type="spellStart"/>
      <w:r>
        <w:t>A.K.Baronia</w:t>
      </w:r>
      <w:proofErr w:type="spellEnd"/>
    </w:p>
    <w:p w:rsidR="00F1615C" w:rsidRDefault="00F1615C" w:rsidP="00F1615C">
      <w:pPr>
        <w:spacing w:line="360" w:lineRule="auto"/>
      </w:pPr>
      <w:r>
        <w:t>Department of Critical Care Medicine &amp; Department of Immunology</w:t>
      </w:r>
    </w:p>
    <w:p w:rsidR="00F1615C" w:rsidRPr="00F1615C" w:rsidRDefault="00F1615C" w:rsidP="00F1615C">
      <w:pPr>
        <w:spacing w:line="360" w:lineRule="auto"/>
      </w:pPr>
      <w:r>
        <w:t>Sanjay Gandhi Postgraduate Institute of Medical Sciences, Lucknow, India</w:t>
      </w:r>
    </w:p>
    <w:p w:rsidR="00F1615C" w:rsidRPr="002C1B73" w:rsidRDefault="00F1615C" w:rsidP="00F1615C">
      <w:pPr>
        <w:spacing w:line="360" w:lineRule="auto"/>
        <w:rPr>
          <w:u w:val="single"/>
        </w:rPr>
      </w:pPr>
      <w:r w:rsidRPr="002C1B73">
        <w:rPr>
          <w:u w:val="single"/>
        </w:rPr>
        <w:t xml:space="preserve">Introduction: </w:t>
      </w:r>
    </w:p>
    <w:p w:rsidR="00F1615C" w:rsidRPr="002C1B73" w:rsidRDefault="00F1615C" w:rsidP="00F1615C">
      <w:pPr>
        <w:spacing w:line="360" w:lineRule="auto"/>
        <w:jc w:val="both"/>
      </w:pPr>
      <w:proofErr w:type="spellStart"/>
      <w:r w:rsidRPr="002C1B73">
        <w:t>Neutrophil</w:t>
      </w:r>
      <w:proofErr w:type="spellEnd"/>
      <w:r w:rsidRPr="002C1B73">
        <w:t xml:space="preserve"> CD64 (nCD64) has been found to identify sepsis from non-septic patients. It is also reported to be a predictor of survival and severity of sepsis. The goal of this study was to correlate serial nCD64 with ICU outcome and severity of sepsis.</w:t>
      </w:r>
    </w:p>
    <w:p w:rsidR="00F1615C" w:rsidRPr="002C1B73" w:rsidRDefault="00F1615C" w:rsidP="00F1615C">
      <w:pPr>
        <w:spacing w:line="360" w:lineRule="auto"/>
        <w:jc w:val="both"/>
        <w:rPr>
          <w:u w:val="single"/>
        </w:rPr>
      </w:pPr>
      <w:r w:rsidRPr="002C1B73">
        <w:rPr>
          <w:u w:val="single"/>
        </w:rPr>
        <w:t xml:space="preserve">Method: </w:t>
      </w:r>
    </w:p>
    <w:p w:rsidR="00F1615C" w:rsidRPr="002C1B73" w:rsidRDefault="00F1615C" w:rsidP="00F1615C">
      <w:pPr>
        <w:spacing w:line="360" w:lineRule="auto"/>
        <w:jc w:val="both"/>
      </w:pPr>
      <w:r w:rsidRPr="002C1B73">
        <w:t xml:space="preserve"> A prospective observational study was conducted in 12 bedded critical care unit of a tertiary care centre. Adult patients with sepsis were included. Demographics, illness severity scores, clinical parameters, laboratory data and 28 day outcome were recorded. Serial nCD64 analysis was done (on day 0, 4 and 8) in consecutive patients. </w:t>
      </w:r>
    </w:p>
    <w:p w:rsidR="00F1615C" w:rsidRPr="002C1B73" w:rsidRDefault="00F1615C" w:rsidP="00F1615C">
      <w:pPr>
        <w:spacing w:line="360" w:lineRule="auto"/>
        <w:jc w:val="both"/>
        <w:rPr>
          <w:u w:val="single"/>
        </w:rPr>
      </w:pPr>
      <w:r w:rsidRPr="002C1B73">
        <w:rPr>
          <w:u w:val="single"/>
        </w:rPr>
        <w:t>Result:</w:t>
      </w:r>
    </w:p>
    <w:p w:rsidR="00F1615C" w:rsidRPr="002C1B73" w:rsidRDefault="00F1615C" w:rsidP="00F1615C">
      <w:pPr>
        <w:pStyle w:val="NoSpacing"/>
        <w:spacing w:line="360" w:lineRule="auto"/>
        <w:jc w:val="both"/>
        <w:rPr>
          <w:rFonts w:ascii="Times New Roman" w:hAnsi="Times New Roman" w:cs="Times New Roman"/>
          <w:sz w:val="24"/>
          <w:szCs w:val="24"/>
        </w:rPr>
      </w:pPr>
      <w:r w:rsidRPr="002C1B73">
        <w:rPr>
          <w:rFonts w:ascii="Times New Roman" w:hAnsi="Times New Roman" w:cs="Times New Roman"/>
          <w:sz w:val="24"/>
          <w:szCs w:val="24"/>
        </w:rPr>
        <w:t xml:space="preserve">Fifty one consecutive patients were included. Median APACHE II was </w:t>
      </w:r>
      <w:r w:rsidRPr="002C1B73">
        <w:rPr>
          <w:rFonts w:ascii="Times New Roman" w:hAnsi="Times New Roman" w:cs="Times New Roman"/>
          <w:kern w:val="24"/>
          <w:sz w:val="24"/>
          <w:szCs w:val="24"/>
        </w:rPr>
        <w:t xml:space="preserve">18 (7-32) </w:t>
      </w:r>
      <w:r w:rsidRPr="002C1B73">
        <w:rPr>
          <w:rFonts w:ascii="Times New Roman" w:hAnsi="Times New Roman" w:cs="Times New Roman"/>
          <w:sz w:val="24"/>
          <w:szCs w:val="24"/>
        </w:rPr>
        <w:t xml:space="preserve">and mean SOFA was 9 (7-10). Compared to survivors, non-survivors had higher nCD64 on day 8 (p=0.001). </w:t>
      </w:r>
      <w:proofErr w:type="gramStart"/>
      <w:r w:rsidRPr="002C1B73">
        <w:rPr>
          <w:rFonts w:ascii="Times New Roman" w:hAnsi="Times New Roman" w:cs="Times New Roman"/>
          <w:sz w:val="24"/>
          <w:szCs w:val="24"/>
        </w:rPr>
        <w:t>nCD64</w:t>
      </w:r>
      <w:proofErr w:type="gramEnd"/>
      <w:r w:rsidRPr="002C1B73">
        <w:rPr>
          <w:rFonts w:ascii="Times New Roman" w:hAnsi="Times New Roman" w:cs="Times New Roman"/>
          <w:sz w:val="24"/>
          <w:szCs w:val="24"/>
        </w:rPr>
        <w:t xml:space="preserve"> was higher in the septic shock group compared to sepsis group on day 0 and day 8 (p&lt;0.05). Survivors showed improving trend of nCD64 over time while non-survivors did not. This trend was similar in presence or absence of septic shock. </w:t>
      </w:r>
      <w:proofErr w:type="gramStart"/>
      <w:r w:rsidRPr="002C1B73">
        <w:rPr>
          <w:rFonts w:ascii="Times New Roman" w:hAnsi="Times New Roman" w:cs="Times New Roman"/>
          <w:sz w:val="24"/>
          <w:szCs w:val="24"/>
        </w:rPr>
        <w:t>nCD64</w:t>
      </w:r>
      <w:proofErr w:type="gramEnd"/>
      <w:r w:rsidRPr="002C1B73">
        <w:rPr>
          <w:rFonts w:ascii="Times New Roman" w:hAnsi="Times New Roman" w:cs="Times New Roman"/>
          <w:sz w:val="24"/>
          <w:szCs w:val="24"/>
        </w:rPr>
        <w:t xml:space="preserve"> count was a good predictor of the septic shock on day 0 (AUC=0.747, p=0.010) and moderate predictor at day 8 (AUC=0.679, p=0.028)</w:t>
      </w:r>
    </w:p>
    <w:p w:rsidR="00F1615C" w:rsidRPr="002C1B73" w:rsidRDefault="00F1615C" w:rsidP="00F1615C">
      <w:pPr>
        <w:pStyle w:val="NoSpacing"/>
        <w:spacing w:line="360" w:lineRule="auto"/>
        <w:jc w:val="both"/>
        <w:rPr>
          <w:rFonts w:ascii="Times New Roman" w:hAnsi="Times New Roman" w:cs="Times New Roman"/>
          <w:sz w:val="24"/>
          <w:szCs w:val="24"/>
        </w:rPr>
      </w:pPr>
      <w:r w:rsidRPr="002C1B73">
        <w:rPr>
          <w:rFonts w:ascii="Times New Roman" w:hAnsi="Times New Roman" w:cs="Times New Roman"/>
          <w:sz w:val="24"/>
          <w:szCs w:val="24"/>
          <w:u w:val="single"/>
        </w:rPr>
        <w:t>Conclusion:</w:t>
      </w:r>
    </w:p>
    <w:p w:rsidR="00F1615C" w:rsidRPr="002C1B73" w:rsidRDefault="00F1615C" w:rsidP="00F1615C">
      <w:pPr>
        <w:spacing w:line="360" w:lineRule="auto"/>
        <w:jc w:val="both"/>
      </w:pPr>
      <w:proofErr w:type="gramStart"/>
      <w:r w:rsidRPr="002C1B73">
        <w:t>nCD64</w:t>
      </w:r>
      <w:proofErr w:type="gramEnd"/>
      <w:r w:rsidRPr="002C1B73">
        <w:t xml:space="preserve"> can be a potential cell based investigation to predict clinical course of adult septic patients in ICU. </w:t>
      </w:r>
    </w:p>
    <w:p w:rsidR="00612159" w:rsidRDefault="00612159"/>
    <w:sectPr w:rsidR="00612159" w:rsidSect="006121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F1615C"/>
    <w:rsid w:val="00612159"/>
    <w:rsid w:val="00F161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15C"/>
    <w:rPr>
      <w:rFonts w:ascii="Times New Roman" w:eastAsiaTheme="minorEastAsia" w:hAnsi="Times New Roman" w:cs="Times New Roman"/>
      <w:color w:val="000000"/>
      <w:sz w:val="24"/>
      <w:szCs w:val="24"/>
      <w:lang w:val="en-IN"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615C"/>
    <w:pPr>
      <w:spacing w:after="0" w:line="240" w:lineRule="auto"/>
    </w:pPr>
    <w:rPr>
      <w:rFonts w:eastAsiaTheme="minorEastAsia"/>
      <w:szCs w:val="20"/>
      <w:lang w:val="en-IN" w:eastAsia="en-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240</Words>
  <Characters>1373</Characters>
  <Application>Microsoft Office Word</Application>
  <DocSecurity>0</DocSecurity>
  <Lines>11</Lines>
  <Paragraphs>3</Paragraphs>
  <ScaleCrop>false</ScaleCrop>
  <Company/>
  <LinksUpToDate>false</LinksUpToDate>
  <CharactersWithSpaces>1610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Aa</cp:lastModifiedBy>
  <cp:revision>1</cp:revision>
  <dcterms:created xsi:type="dcterms:W3CDTF">2018-03-21T04:39:00Z</dcterms:created>
  <dcterms:modified xsi:type="dcterms:W3CDTF">2018-03-21T04:42:00Z</dcterms:modified>
</cp:coreProperties>
</file>