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105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5245"/>
      </w:tblGrid>
      <w:tr w:rsidR="006C066F" w:rsidRPr="00056538" w:rsidTr="00F526B8">
        <w:tc>
          <w:tcPr>
            <w:tcW w:w="11057" w:type="dxa"/>
            <w:gridSpan w:val="2"/>
          </w:tcPr>
          <w:p w:rsidR="006C066F" w:rsidRPr="00C96B0E" w:rsidRDefault="006C066F" w:rsidP="00F526B8">
            <w:pPr>
              <w:spacing w:line="260" w:lineRule="exact"/>
              <w:rPr>
                <w:rFonts w:ascii="Times New Roman" w:hAnsi="Times New Roman" w:cs="Times New Roman"/>
                <w:b/>
                <w:szCs w:val="24"/>
              </w:rPr>
            </w:pPr>
            <w:r w:rsidRPr="00C96B0E">
              <w:rPr>
                <w:rFonts w:ascii="Times New Roman" w:hAnsi="Times New Roman" w:cs="Times New Roman"/>
                <w:b/>
                <w:szCs w:val="24"/>
              </w:rPr>
              <w:t>Metabolic syndrome, obesity, and renal progression in chronic kidney disease</w:t>
            </w: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18"/>
                <w:szCs w:val="24"/>
              </w:rPr>
            </w:pPr>
            <w:r w:rsidRPr="002F1BDA">
              <w:rPr>
                <w:rFonts w:ascii="Times New Roman" w:hAnsi="Times New Roman" w:cs="Times New Roman"/>
                <w:bCs/>
                <w:sz w:val="18"/>
                <w:szCs w:val="24"/>
              </w:rPr>
              <w:t>Po-Ya Chang</w:t>
            </w:r>
            <w:r w:rsidRPr="002F1BDA">
              <w:rPr>
                <w:rFonts w:ascii="Times New Roman" w:hAnsi="Times New Roman" w:cs="Times New Roman"/>
                <w:bCs/>
                <w:sz w:val="18"/>
                <w:szCs w:val="24"/>
                <w:vertAlign w:val="superscript"/>
              </w:rPr>
              <w:t>1</w:t>
            </w:r>
            <w:r w:rsidRPr="002F1BDA">
              <w:rPr>
                <w:rFonts w:ascii="Times New Roman" w:hAnsi="Times New Roman" w:cs="Times New Roman"/>
                <w:bCs/>
                <w:sz w:val="18"/>
                <w:szCs w:val="24"/>
              </w:rPr>
              <w:t>, Yu-Wei Chang</w:t>
            </w:r>
            <w:r w:rsidRPr="002F1BDA">
              <w:rPr>
                <w:rFonts w:ascii="Times New Roman" w:hAnsi="Times New Roman" w:cs="Times New Roman"/>
                <w:bCs/>
                <w:sz w:val="18"/>
                <w:szCs w:val="24"/>
                <w:vertAlign w:val="superscript"/>
              </w:rPr>
              <w:t>2</w:t>
            </w:r>
            <w:r w:rsidRPr="002F1BDA">
              <w:rPr>
                <w:rFonts w:ascii="Times New Roman" w:hAnsi="Times New Roman" w:cs="Times New Roman"/>
                <w:bCs/>
                <w:sz w:val="18"/>
                <w:szCs w:val="24"/>
              </w:rPr>
              <w:t>, Kai-Hsiang Ho</w:t>
            </w:r>
            <w:r w:rsidRPr="002F1BDA">
              <w:rPr>
                <w:rFonts w:ascii="Times New Roman" w:hAnsi="Times New Roman" w:cs="Times New Roman"/>
                <w:bCs/>
                <w:sz w:val="18"/>
                <w:szCs w:val="24"/>
                <w:vertAlign w:val="superscript"/>
              </w:rPr>
              <w:t>3</w:t>
            </w:r>
            <w:r w:rsidRPr="002F1BDA">
              <w:rPr>
                <w:rFonts w:ascii="Times New Roman" w:hAnsi="Times New Roman" w:cs="Times New Roman"/>
                <w:bCs/>
                <w:sz w:val="18"/>
                <w:szCs w:val="24"/>
              </w:rPr>
              <w:t>, Hung-Yi Chiou</w:t>
            </w:r>
            <w:r w:rsidRPr="002F1BDA">
              <w:rPr>
                <w:rFonts w:ascii="Times New Roman" w:hAnsi="Times New Roman" w:cs="Times New Roman"/>
                <w:bCs/>
                <w:sz w:val="18"/>
                <w:szCs w:val="24"/>
                <w:vertAlign w:val="superscript"/>
              </w:rPr>
              <w:t>1*</w:t>
            </w: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18"/>
                <w:szCs w:val="24"/>
              </w:rPr>
            </w:pPr>
            <w:r w:rsidRPr="002F1BDA">
              <w:rPr>
                <w:rFonts w:ascii="Times New Roman" w:hAnsi="Times New Roman" w:cs="Times New Roman"/>
                <w:sz w:val="18"/>
                <w:szCs w:val="24"/>
                <w:vertAlign w:val="superscript"/>
              </w:rPr>
              <w:t>1</w:t>
            </w:r>
            <w:r w:rsidRPr="002F1BDA">
              <w:rPr>
                <w:rFonts w:ascii="Times New Roman" w:hAnsi="Times New Roman" w:cs="Times New Roman"/>
                <w:sz w:val="18"/>
                <w:szCs w:val="24"/>
              </w:rPr>
              <w:t>School of Public Health, Taipei Medical University, Taipei, Taiwan;</w:t>
            </w: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18"/>
                <w:szCs w:val="24"/>
              </w:rPr>
            </w:pPr>
            <w:r w:rsidRPr="002F1BDA">
              <w:rPr>
                <w:rFonts w:ascii="Times New Roman" w:hAnsi="Times New Roman" w:cs="Times New Roman"/>
                <w:sz w:val="18"/>
                <w:szCs w:val="24"/>
                <w:vertAlign w:val="superscript"/>
              </w:rPr>
              <w:t xml:space="preserve">2 </w:t>
            </w:r>
            <w:r w:rsidRPr="002F1BDA">
              <w:rPr>
                <w:rFonts w:ascii="Times New Roman" w:hAnsi="Times New Roman" w:cs="Times New Roman"/>
                <w:sz w:val="18"/>
                <w:szCs w:val="24"/>
              </w:rPr>
              <w:t>Department of Information Management, China Jiliang University, Hangzhou, China;</w:t>
            </w:r>
          </w:p>
          <w:p w:rsidR="006C066F" w:rsidRPr="00E65288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2F1BDA">
              <w:rPr>
                <w:rFonts w:ascii="Times New Roman" w:hAnsi="Times New Roman" w:cs="Times New Roman"/>
                <w:sz w:val="18"/>
                <w:szCs w:val="24"/>
                <w:vertAlign w:val="superscript"/>
              </w:rPr>
              <w:t xml:space="preserve">3 </w:t>
            </w:r>
            <w:r w:rsidRPr="002F1BDA">
              <w:rPr>
                <w:rFonts w:ascii="Times New Roman" w:hAnsi="Times New Roman" w:cs="Times New Roman"/>
                <w:sz w:val="18"/>
                <w:szCs w:val="24"/>
              </w:rPr>
              <w:t>Department of nursing, Tzu Chi University of Science and Technology, Hualien, Taiwan</w:t>
            </w:r>
          </w:p>
        </w:tc>
      </w:tr>
      <w:tr w:rsidR="006C066F" w:rsidRPr="00056538" w:rsidTr="00F526B8">
        <w:trPr>
          <w:trHeight w:val="11033"/>
        </w:trPr>
        <w:tc>
          <w:tcPr>
            <w:tcW w:w="5812" w:type="dxa"/>
          </w:tcPr>
          <w:p w:rsidR="006C066F" w:rsidRPr="00630F52" w:rsidRDefault="006C066F" w:rsidP="00F526B8">
            <w:pPr>
              <w:spacing w:line="280" w:lineRule="exact"/>
              <w:rPr>
                <w:rFonts w:ascii="Times New Roman" w:hAnsi="Times New Roman" w:cs="Times New Roman"/>
                <w:b/>
                <w:szCs w:val="24"/>
              </w:rPr>
            </w:pPr>
            <w:r w:rsidRPr="00630F52">
              <w:rPr>
                <w:rFonts w:ascii="Times New Roman" w:hAnsi="Times New Roman" w:cs="Times New Roman"/>
                <w:b/>
                <w:szCs w:val="24"/>
              </w:rPr>
              <w:t>Abstract</w:t>
            </w:r>
          </w:p>
          <w:p w:rsidR="006C066F" w:rsidRPr="00056538" w:rsidRDefault="006C066F" w:rsidP="00F526B8">
            <w:pPr>
              <w:spacing w:line="28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Metabolic syndrome and obesity are found to cause adverse outcomes in health. However, a subset of healthy obese individuals might not be at an increased risk for metabolic complications; they are referred to as metabolically healthy obese (MHO). People with MHO or metabolically unhealthy non-obese (MUNO) have different risks in cardiovascular diseases, and mortality. There is no study to discuss the interaction of metabolic syndrome and obesity on renal </w:t>
            </w:r>
            <w:r w:rsidRPr="00AA12E6">
              <w:rPr>
                <w:rFonts w:ascii="Times New Roman" w:hAnsi="Times New Roman" w:cs="Times New Roman"/>
                <w:szCs w:val="24"/>
              </w:rPr>
              <w:t xml:space="preserve">progression. 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We aimed to investigate this issue among </w:t>
            </w:r>
            <w:r w:rsidRPr="00AA12E6">
              <w:rPr>
                <w:rFonts w:ascii="Times New Roman" w:hAnsi="Times New Roman" w:cs="Times New Roman"/>
                <w:szCs w:val="24"/>
              </w:rPr>
              <w:t>chronic kidney disease (CKD) patients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  <w:r w:rsidRPr="00AA12E6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AA12E6">
              <w:rPr>
                <w:rFonts w:ascii="Times New Roman" w:hAnsi="Times New Roman" w:cs="Times New Roman"/>
                <w:szCs w:val="24"/>
              </w:rPr>
              <w:t xml:space="preserve">This prospective cohort study enrolled 4525 CKD patients. 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>The renal progression</w:t>
            </w:r>
            <w:r w:rsidRPr="00AA12E6">
              <w:rPr>
                <w:rFonts w:ascii="Times New Roman" w:hAnsi="Times New Roman" w:cs="Times New Roman"/>
                <w:szCs w:val="24"/>
              </w:rPr>
              <w:t xml:space="preserve"> was defined as a 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decline in the eGFR by more than 25% according to the baseline eGFR. </w:t>
            </w:r>
            <w:r w:rsidRPr="00AA12E6">
              <w:rPr>
                <w:rFonts w:ascii="Times New Roman" w:hAnsi="Times New Roman" w:cs="Times New Roman"/>
                <w:szCs w:val="24"/>
              </w:rPr>
              <w:t>Metabolic syndrome was defined as subjects who have more than three metabolic disease components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>: (i) blood pressure ≥130/85 mm Hg or regular use antihypertensive agent (ii) fasting blood glucose ≥100 mg/dl or regular use</w:t>
            </w:r>
            <w:r w:rsidRPr="00AA12E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antihyperglycemic agent (iii) triglyceride levels ≥150 mg/dl or total cholesterol ≥200 mg/dl or regular use antihyperlipidemic agent (iv) Waist circumference ≥90 cm for men and ≥80 cm for women. </w:t>
            </w:r>
            <w:r w:rsidRPr="00AA12E6">
              <w:rPr>
                <w:rFonts w:ascii="Times New Roman" w:hAnsi="Times New Roman" w:cs="Times New Roman"/>
                <w:szCs w:val="24"/>
              </w:rPr>
              <w:t>Obesity was defined as body mass index (BMI) ≥25 kg/m</w:t>
            </w:r>
            <w:r w:rsidRPr="00AA12E6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  <w:r w:rsidRPr="00AA12E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The investigated subjects are divided into metabolically healthy non-obese (MHNO) </w:t>
            </w:r>
            <w:r w:rsidRPr="00AA12E6">
              <w:rPr>
                <w:rFonts w:ascii="Times New Roman" w:hAnsi="Times New Roman" w:cs="Times New Roman"/>
                <w:szCs w:val="24"/>
              </w:rPr>
              <w:t xml:space="preserve">(without metabolic syndrome and 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>obese), MHO</w:t>
            </w:r>
            <w:r w:rsidRPr="00AA12E6">
              <w:rPr>
                <w:rFonts w:ascii="Times New Roman" w:hAnsi="Times New Roman" w:cs="Times New Roman"/>
                <w:szCs w:val="24"/>
              </w:rPr>
              <w:t xml:space="preserve"> (without metabolic syndrome and with 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obese), MUNO </w:t>
            </w:r>
            <w:r w:rsidRPr="00AA12E6">
              <w:rPr>
                <w:rFonts w:ascii="Times New Roman" w:hAnsi="Times New Roman" w:cs="Times New Roman"/>
                <w:szCs w:val="24"/>
              </w:rPr>
              <w:t xml:space="preserve">(with metabolic syndrome and without 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>obese), and metabolically unhealthy obese (MUO)</w:t>
            </w:r>
            <w:r w:rsidRPr="00AA12E6">
              <w:rPr>
                <w:rFonts w:ascii="Times New Roman" w:hAnsi="Times New Roman" w:cs="Times New Roman"/>
                <w:szCs w:val="24"/>
              </w:rPr>
              <w:t xml:space="preserve"> (with metabolic syndrome and 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obese). </w:t>
            </w:r>
            <w:r w:rsidRPr="00AA12E6">
              <w:rPr>
                <w:rFonts w:ascii="Times New Roman" w:hAnsi="Times New Roman" w:cs="Times New Roman"/>
                <w:szCs w:val="24"/>
              </w:rPr>
              <w:t xml:space="preserve">The mean age of the cohort was 62.9 ±13.7 years. 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Compared with MHNO, the risk for renal progression hazard ratio were 1.132 for MHO, 1.265 for MUNO, and 1.266 for MUO after adjustment for confounders. </w:t>
            </w:r>
            <w:r w:rsidRPr="00AA12E6">
              <w:rPr>
                <w:rFonts w:ascii="Times New Roman" w:hAnsi="Times New Roman" w:cs="Times New Roman"/>
                <w:szCs w:val="24"/>
              </w:rPr>
              <w:t xml:space="preserve">We further used subgroups analysis by age. When 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patients aged &lt;65 years, MUNO and MUO have higher risk of renal progression than MHNO. When patients aged ≥65 years, there are no significant differences for the four groups. </w:t>
            </w:r>
            <w:r w:rsidRPr="00AA12E6">
              <w:rPr>
                <w:rFonts w:ascii="Times New Roman" w:hAnsi="Times New Roman" w:cs="Times New Roman"/>
                <w:szCs w:val="24"/>
              </w:rPr>
              <w:t xml:space="preserve">In conclusion, metabolic syndrome has larger effects on the </w:t>
            </w:r>
            <w:r w:rsidRPr="00AA12E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increased risk of renal progression than obesity. </w:t>
            </w:r>
            <w:r w:rsidRPr="00AA12E6">
              <w:rPr>
                <w:rFonts w:ascii="Times New Roman" w:hAnsi="Times New Roman" w:cs="Times New Roman"/>
                <w:szCs w:val="24"/>
              </w:rPr>
              <w:t>MHO was unrelated to the increased risk of renal progression among CKD patients.</w:t>
            </w:r>
          </w:p>
        </w:tc>
        <w:tc>
          <w:tcPr>
            <w:tcW w:w="5245" w:type="dxa"/>
          </w:tcPr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4CB2AD4" wp14:editId="1136F217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107892</wp:posOffset>
                  </wp:positionV>
                  <wp:extent cx="3333750" cy="2114550"/>
                  <wp:effectExtent l="0" t="0" r="0" b="0"/>
                  <wp:wrapNone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C73464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3F2257D" wp14:editId="7B94EAAC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182245</wp:posOffset>
                  </wp:positionV>
                  <wp:extent cx="3145155" cy="948690"/>
                  <wp:effectExtent l="0" t="0" r="0" b="381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155" cy="94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2F1BDA">
              <w:rPr>
                <w:rFonts w:ascii="Times New Roman" w:hAnsi="Times New Roman" w:cs="Times New Roman"/>
                <w:sz w:val="22"/>
                <w:szCs w:val="24"/>
              </w:rPr>
              <w:t>Recent Publications</w:t>
            </w:r>
          </w:p>
          <w:p w:rsidR="006C066F" w:rsidRPr="002F1BDA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Pr="002F1BDA" w:rsidRDefault="006C066F" w:rsidP="00F526B8">
            <w:pPr>
              <w:pStyle w:val="a4"/>
              <w:numPr>
                <w:ilvl w:val="0"/>
                <w:numId w:val="1"/>
              </w:numPr>
              <w:spacing w:line="260" w:lineRule="exact"/>
              <w:ind w:leftChars="0"/>
              <w:rPr>
                <w:rFonts w:ascii="Times New Roman" w:hAnsi="Times New Roman" w:cs="Times New Roman"/>
                <w:sz w:val="22"/>
                <w:szCs w:val="24"/>
              </w:rPr>
            </w:pPr>
            <w:r w:rsidRPr="002F1BDA">
              <w:rPr>
                <w:rFonts w:ascii="Times New Roman" w:hAnsi="Times New Roman" w:cs="Times New Roman"/>
                <w:sz w:val="22"/>
                <w:szCs w:val="24"/>
                <w:u w:val="single"/>
              </w:rPr>
              <w:t>Po-Ya Chang</w:t>
            </w:r>
            <w:r w:rsidRPr="002F1BDA">
              <w:rPr>
                <w:rFonts w:ascii="Times New Roman" w:hAnsi="Times New Roman" w:cs="Times New Roman"/>
                <w:sz w:val="22"/>
                <w:szCs w:val="24"/>
              </w:rPr>
              <w:t xml:space="preserve">, Li-Nien Chien, Yuh-Feng Lin, Wen-Ta Chiu, Hung-Yi Chiou. Simultaneous Control of Glycemic, Blood pressure, and Lipid Significantly Reduce the Risk of Renal Progression in Diabetes Patients. European Journal of Internal Medicine. 2016 Oct; 36, 87-92. </w:t>
            </w:r>
          </w:p>
          <w:p w:rsidR="006C066F" w:rsidRPr="002F1BDA" w:rsidRDefault="006C066F" w:rsidP="00F526B8">
            <w:pPr>
              <w:pStyle w:val="a4"/>
              <w:numPr>
                <w:ilvl w:val="0"/>
                <w:numId w:val="1"/>
              </w:numPr>
              <w:spacing w:line="260" w:lineRule="exact"/>
              <w:ind w:leftChars="0"/>
              <w:rPr>
                <w:rFonts w:ascii="Times New Roman" w:hAnsi="Times New Roman" w:cs="Times New Roman"/>
                <w:sz w:val="22"/>
                <w:szCs w:val="24"/>
              </w:rPr>
            </w:pPr>
            <w:r w:rsidRPr="002F1BDA">
              <w:rPr>
                <w:rFonts w:ascii="Times New Roman" w:hAnsi="Times New Roman" w:cs="Times New Roman"/>
                <w:sz w:val="22"/>
                <w:szCs w:val="24"/>
                <w:u w:val="single"/>
              </w:rPr>
              <w:t>Po-Ya Chang</w:t>
            </w:r>
            <w:r w:rsidRPr="002F1BDA">
              <w:rPr>
                <w:rFonts w:ascii="Times New Roman" w:hAnsi="Times New Roman" w:cs="Times New Roman"/>
                <w:sz w:val="22"/>
                <w:szCs w:val="24"/>
              </w:rPr>
              <w:t>, Li-Nien Chien, Yuh-Feng Lin, Mai-Szu Wu, Wen-Ta Chiu, Hung-Yi Chiou. Risk Factors of Gender for Renal Progression in Patients with Early Chronic Kidney Disease. Medicine (Baltimore). 2016 June 95; 30, 1-7.</w:t>
            </w:r>
          </w:p>
          <w:p w:rsidR="006C066F" w:rsidRPr="00E76162" w:rsidRDefault="006C066F" w:rsidP="00F526B8">
            <w:pPr>
              <w:pStyle w:val="a4"/>
              <w:numPr>
                <w:ilvl w:val="0"/>
                <w:numId w:val="1"/>
              </w:numPr>
              <w:spacing w:line="260" w:lineRule="exact"/>
              <w:ind w:leftChars="0"/>
              <w:rPr>
                <w:rFonts w:ascii="Times New Roman" w:hAnsi="Times New Roman" w:cs="Times New Roman"/>
                <w:sz w:val="22"/>
                <w:szCs w:val="24"/>
              </w:rPr>
            </w:pPr>
            <w:r w:rsidRPr="002F1BDA">
              <w:rPr>
                <w:rFonts w:ascii="Times New Roman" w:hAnsi="Times New Roman" w:cs="Times New Roman"/>
                <w:sz w:val="22"/>
                <w:szCs w:val="24"/>
                <w:u w:val="single"/>
              </w:rPr>
              <w:t>Po-Ya Chang</w:t>
            </w:r>
            <w:r w:rsidRPr="002F1BDA">
              <w:rPr>
                <w:rFonts w:ascii="Times New Roman" w:hAnsi="Times New Roman" w:cs="Times New Roman"/>
                <w:sz w:val="22"/>
                <w:szCs w:val="24"/>
              </w:rPr>
              <w:t>, Li-Nien Chien, Yuh-Feng Lin, Hung-Yi Chiou, Wen-Ta Chiu. Nonadherence of Oral Antihyperglycemic Medication Will Increase Risk of End-Stage Renal Disease. Medicine(Baltimore). 2015 Nov 94; 47, 1-8.</w:t>
            </w:r>
          </w:p>
        </w:tc>
      </w:tr>
      <w:tr w:rsidR="006C066F" w:rsidRPr="00056538" w:rsidTr="00F526B8">
        <w:tc>
          <w:tcPr>
            <w:tcW w:w="11057" w:type="dxa"/>
            <w:gridSpan w:val="2"/>
          </w:tcPr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AFBC684" wp14:editId="47FB7D82">
                  <wp:simplePos x="0" y="0"/>
                  <wp:positionH relativeFrom="column">
                    <wp:posOffset>253538</wp:posOffset>
                  </wp:positionH>
                  <wp:positionV relativeFrom="paragraph">
                    <wp:posOffset>88322</wp:posOffset>
                  </wp:positionV>
                  <wp:extent cx="652291" cy="754611"/>
                  <wp:effectExtent l="0" t="0" r="0" b="7620"/>
                  <wp:wrapNone/>
                  <wp:docPr id="1" name="圖片 1" descr="C:\Users\Boya\AppData\Local\LINE\Cache\tmp\15144776952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oya\AppData\Local\LINE\Cache\tmp\15144776952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552" cy="754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641A2">
              <w:rPr>
                <w:rFonts w:ascii="Times New Roman" w:hAnsi="Times New Roman" w:cs="Times New Roman"/>
                <w:noProof/>
                <w:color w:val="000000" w:themeColor="text1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60ACFFA" wp14:editId="37D964F1">
                  <wp:simplePos x="0" y="0"/>
                  <wp:positionH relativeFrom="column">
                    <wp:posOffset>5081270</wp:posOffset>
                  </wp:positionH>
                  <wp:positionV relativeFrom="paragraph">
                    <wp:posOffset>88207</wp:posOffset>
                  </wp:positionV>
                  <wp:extent cx="754257" cy="761539"/>
                  <wp:effectExtent l="0" t="0" r="8255" b="635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ta_175_2045326_60043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257" cy="761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023117" wp14:editId="31221A65">
                      <wp:simplePos x="0" y="0"/>
                      <wp:positionH relativeFrom="column">
                        <wp:posOffset>1615440</wp:posOffset>
                      </wp:positionH>
                      <wp:positionV relativeFrom="paragraph">
                        <wp:posOffset>34348</wp:posOffset>
                      </wp:positionV>
                      <wp:extent cx="3749675" cy="0"/>
                      <wp:effectExtent l="0" t="19050" r="22225" b="19050"/>
                      <wp:wrapNone/>
                      <wp:docPr id="3" name="直線接點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49675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68F093" id="直線接點 3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7.2pt,2.7pt" to="422.4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" strokecolor="#0070c0" strokeweight="3pt">
                      <v:stroke joinstyle="miter"/>
                    </v:line>
                  </w:pict>
                </mc:Fallback>
              </mc:AlternateContent>
            </w: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D31DC2">
              <w:rPr>
                <w:rFonts w:ascii="Times New Roman" w:hAnsi="Times New Roman" w:cs="Times New Roman"/>
                <w:sz w:val="22"/>
                <w:szCs w:val="24"/>
              </w:rPr>
              <w:t xml:space="preserve">Biography                                                                                   </w:t>
            </w:r>
          </w:p>
          <w:p w:rsidR="006C066F" w:rsidRDefault="006C066F" w:rsidP="00F526B8">
            <w:pPr>
              <w:spacing w:line="26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AA12E6">
              <w:rPr>
                <w:rFonts w:ascii="Times New Roman" w:hAnsi="Times New Roman" w:cs="Times New Roman"/>
                <w:sz w:val="22"/>
                <w:szCs w:val="24"/>
              </w:rPr>
              <w:t>Po-Ya Chang is a postdoctoral at the Taipei Medical University of College of Public Health. She holds a Ph.D. degree in Public Health from the Taipei Medical University. She also a visiting scholar at The University of Tokyo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, Japan</w:t>
            </w:r>
            <w:r w:rsidRPr="00AA12E6">
              <w:rPr>
                <w:rFonts w:ascii="Times New Roman" w:hAnsi="Times New Roman" w:cs="Times New Roman"/>
                <w:sz w:val="22"/>
                <w:szCs w:val="24"/>
              </w:rPr>
              <w:t xml:space="preserve">. She research areas are epidemiology, public health, and secondary data analysis. </w:t>
            </w:r>
            <w:r w:rsidRPr="00D31DC2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  <w:p w:rsidR="006C066F" w:rsidRPr="002F1BDA" w:rsidRDefault="006C066F" w:rsidP="00F526B8">
            <w:pPr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D5690F">
              <w:rPr>
                <w:rFonts w:ascii="Times New Roman" w:hAnsi="Times New Roman" w:cs="Times New Roman"/>
                <w:sz w:val="20"/>
                <w:szCs w:val="24"/>
              </w:rPr>
              <w:t>Email: rj0729@hotmail.com</w:t>
            </w:r>
          </w:p>
        </w:tc>
      </w:tr>
    </w:tbl>
    <w:p w:rsidR="006C066F" w:rsidRPr="006C066F" w:rsidRDefault="006C066F" w:rsidP="006C066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5B62C5" wp14:editId="40E8DD62">
                <wp:simplePos x="0" y="0"/>
                <wp:positionH relativeFrom="column">
                  <wp:posOffset>1623002</wp:posOffset>
                </wp:positionH>
                <wp:positionV relativeFrom="paragraph">
                  <wp:posOffset>2540</wp:posOffset>
                </wp:positionV>
                <wp:extent cx="3750128" cy="0"/>
                <wp:effectExtent l="0" t="0" r="22225" b="19050"/>
                <wp:wrapNone/>
                <wp:docPr id="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012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91B3AB" id="直線接點 4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7.8pt,.2pt" to="423.1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" strokecolor="#0070c0" strokeweight="1pt">
                <v:stroke joinstyle="miter"/>
              </v:line>
            </w:pict>
          </mc:Fallback>
        </mc:AlternateContent>
      </w:r>
      <w:r w:rsidRPr="00D31DC2">
        <w:rPr>
          <w:rFonts w:ascii="Times New Roman" w:hAnsi="Times New Roman" w:cs="Times New Roman"/>
          <w:sz w:val="20"/>
          <w:szCs w:val="20"/>
        </w:rPr>
        <w:t>Euro Metabolomics 2018</w:t>
      </w:r>
    </w:p>
    <w:p w:rsidR="006C066F" w:rsidRDefault="006C066F" w:rsidP="006C066F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-321945</wp:posOffset>
            </wp:positionH>
            <wp:positionV relativeFrom="paragraph">
              <wp:posOffset>-247650</wp:posOffset>
            </wp:positionV>
            <wp:extent cx="7424611" cy="10534650"/>
            <wp:effectExtent l="0" t="0" r="5080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4611" cy="1053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6C066F" w:rsidRPr="006C066F" w:rsidRDefault="006C066F" w:rsidP="006C066F"/>
    <w:sectPr w:rsidR="006C066F" w:rsidRPr="006C066F" w:rsidSect="00C73464">
      <w:pgSz w:w="11906" w:h="16838"/>
      <w:pgMar w:top="510" w:right="567" w:bottom="51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DC2" w:rsidRDefault="00D31DC2" w:rsidP="00D31DC2">
      <w:r>
        <w:separator/>
      </w:r>
    </w:p>
  </w:endnote>
  <w:endnote w:type="continuationSeparator" w:id="0">
    <w:p w:rsidR="00D31DC2" w:rsidRDefault="00D31DC2" w:rsidP="00D3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DC2" w:rsidRDefault="00D31DC2" w:rsidP="00D31DC2">
      <w:r>
        <w:separator/>
      </w:r>
    </w:p>
  </w:footnote>
  <w:footnote w:type="continuationSeparator" w:id="0">
    <w:p w:rsidR="00D31DC2" w:rsidRDefault="00D31DC2" w:rsidP="00D31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D6E1E"/>
    <w:multiLevelType w:val="hybridMultilevel"/>
    <w:tmpl w:val="B7722074"/>
    <w:lvl w:ilvl="0" w:tplc="6DD4F67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CF"/>
    <w:rsid w:val="00043A7D"/>
    <w:rsid w:val="00056538"/>
    <w:rsid w:val="00071FCF"/>
    <w:rsid w:val="000D46A9"/>
    <w:rsid w:val="001B7A1A"/>
    <w:rsid w:val="002855F2"/>
    <w:rsid w:val="002D7211"/>
    <w:rsid w:val="002F1BDA"/>
    <w:rsid w:val="005223C1"/>
    <w:rsid w:val="00551E07"/>
    <w:rsid w:val="00570CB1"/>
    <w:rsid w:val="00630F52"/>
    <w:rsid w:val="0066546A"/>
    <w:rsid w:val="006C066F"/>
    <w:rsid w:val="007923BE"/>
    <w:rsid w:val="00807D13"/>
    <w:rsid w:val="008312B6"/>
    <w:rsid w:val="00A7282A"/>
    <w:rsid w:val="00AA12E6"/>
    <w:rsid w:val="00C73464"/>
    <w:rsid w:val="00C96B0E"/>
    <w:rsid w:val="00CC40B3"/>
    <w:rsid w:val="00D10896"/>
    <w:rsid w:val="00D1430F"/>
    <w:rsid w:val="00D31DC2"/>
    <w:rsid w:val="00D5690F"/>
    <w:rsid w:val="00E56384"/>
    <w:rsid w:val="00E65288"/>
    <w:rsid w:val="00E76162"/>
    <w:rsid w:val="00F3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FB470FA6-704B-4E86-89F6-A229B8B79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653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31D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31DC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31D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31D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9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8899E-2CD3-45B3-A681-132777ABD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3151</Characters>
  <Application>Microsoft Office Word</Application>
  <DocSecurity>0</DocSecurity>
  <Lines>26</Lines>
  <Paragraphs>7</Paragraphs>
  <ScaleCrop>false</ScaleCrop>
  <Company>Microsoft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</dc:creator>
  <cp:keywords/>
  <dc:description/>
  <cp:lastModifiedBy>Boya</cp:lastModifiedBy>
  <cp:revision>3</cp:revision>
  <dcterms:created xsi:type="dcterms:W3CDTF">2017-12-29T04:26:00Z</dcterms:created>
  <dcterms:modified xsi:type="dcterms:W3CDTF">2017-12-29T04:28:00Z</dcterms:modified>
</cp:coreProperties>
</file>