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745" w:rsidRPr="00F03BA0" w:rsidRDefault="00FD0745" w:rsidP="00FD0745">
      <w:pPr>
        <w:pStyle w:val="NormalWeb"/>
        <w:shd w:val="clear" w:color="auto" w:fill="FFFFFF"/>
        <w:spacing w:before="0" w:beforeAutospacing="0" w:after="0" w:afterAutospacing="0" w:line="360" w:lineRule="auto"/>
        <w:jc w:val="center"/>
        <w:rPr>
          <w:rFonts w:asciiTheme="majorBidi" w:hAnsiTheme="majorBidi" w:cstheme="majorBidi"/>
          <w:b/>
          <w:bCs/>
          <w:sz w:val="22"/>
          <w:szCs w:val="22"/>
        </w:rPr>
      </w:pPr>
      <w:bookmarkStart w:id="0" w:name="_GoBack"/>
      <w:r w:rsidRPr="00F03BA0">
        <w:rPr>
          <w:rFonts w:asciiTheme="majorBidi" w:hAnsiTheme="majorBidi" w:cstheme="majorBidi"/>
          <w:b/>
          <w:bCs/>
          <w:sz w:val="22"/>
          <w:szCs w:val="22"/>
        </w:rPr>
        <w:t xml:space="preserve">The Influence of Variations of </w:t>
      </w:r>
      <w:proofErr w:type="spellStart"/>
      <w:r w:rsidRPr="00F03BA0">
        <w:rPr>
          <w:rFonts w:asciiTheme="majorBidi" w:hAnsiTheme="majorBidi" w:cstheme="majorBidi"/>
          <w:b/>
          <w:bCs/>
          <w:sz w:val="22"/>
          <w:szCs w:val="22"/>
        </w:rPr>
        <w:t>Furanosesquiterpenoids</w:t>
      </w:r>
      <w:proofErr w:type="spellEnd"/>
      <w:r w:rsidRPr="00F03BA0">
        <w:rPr>
          <w:rFonts w:asciiTheme="majorBidi" w:hAnsiTheme="majorBidi" w:cstheme="majorBidi"/>
          <w:b/>
          <w:bCs/>
          <w:sz w:val="22"/>
          <w:szCs w:val="22"/>
        </w:rPr>
        <w:t xml:space="preserve"> Content of Commercial Samples of </w:t>
      </w:r>
      <w:r w:rsidRPr="00F03BA0">
        <w:rPr>
          <w:rFonts w:asciiTheme="majorBidi" w:hAnsiTheme="majorBidi" w:cstheme="majorBidi"/>
          <w:b/>
          <w:bCs/>
          <w:i/>
          <w:iCs/>
          <w:sz w:val="22"/>
          <w:szCs w:val="22"/>
        </w:rPr>
        <w:t>Myrrh</w:t>
      </w:r>
      <w:r w:rsidRPr="00F03BA0">
        <w:rPr>
          <w:rFonts w:asciiTheme="majorBidi" w:hAnsiTheme="majorBidi" w:cstheme="majorBidi"/>
          <w:b/>
          <w:bCs/>
          <w:sz w:val="22"/>
          <w:szCs w:val="22"/>
        </w:rPr>
        <w:t xml:space="preserve"> on their biological</w:t>
      </w:r>
      <w:r w:rsidRPr="00F03BA0">
        <w:rPr>
          <w:rFonts w:asciiTheme="majorBidi" w:hAnsiTheme="majorBidi" w:cstheme="majorBidi"/>
          <w:b/>
          <w:bCs/>
          <w:sz w:val="22"/>
          <w:szCs w:val="22"/>
        </w:rPr>
        <w:t xml:space="preserve"> </w:t>
      </w:r>
      <w:r w:rsidRPr="00F03BA0">
        <w:rPr>
          <w:rFonts w:asciiTheme="majorBidi" w:hAnsiTheme="majorBidi" w:cstheme="majorBidi"/>
          <w:b/>
          <w:bCs/>
          <w:sz w:val="22"/>
          <w:szCs w:val="22"/>
        </w:rPr>
        <w:t>Properties</w:t>
      </w:r>
    </w:p>
    <w:bookmarkEnd w:id="0"/>
    <w:p w:rsidR="00FD0745" w:rsidRPr="00FD0745" w:rsidRDefault="00FD0745" w:rsidP="00FD0745">
      <w:pPr>
        <w:spacing w:before="100" w:beforeAutospacing="1" w:after="100" w:afterAutospacing="1" w:line="360" w:lineRule="auto"/>
        <w:jc w:val="both"/>
        <w:outlineLvl w:val="1"/>
        <w:rPr>
          <w:rFonts w:asciiTheme="majorBidi" w:eastAsia="Times New Roman" w:hAnsiTheme="majorBidi" w:cstheme="majorBidi"/>
          <w:b/>
          <w:bCs/>
          <w:sz w:val="24"/>
          <w:szCs w:val="24"/>
        </w:rPr>
      </w:pPr>
      <w:r w:rsidRPr="00FD0745">
        <w:rPr>
          <w:rFonts w:asciiTheme="majorBidi" w:eastAsia="Times New Roman" w:hAnsiTheme="majorBidi" w:cstheme="majorBidi"/>
          <w:b/>
          <w:bCs/>
          <w:sz w:val="24"/>
          <w:szCs w:val="24"/>
        </w:rPr>
        <w:t>Abstract</w:t>
      </w:r>
    </w:p>
    <w:p w:rsidR="00FD0745" w:rsidRPr="00FD0745" w:rsidRDefault="00FD0745" w:rsidP="00FD0745">
      <w:pPr>
        <w:spacing w:after="0" w:line="360" w:lineRule="auto"/>
        <w:jc w:val="both"/>
        <w:rPr>
          <w:rFonts w:asciiTheme="majorBidi" w:eastAsia="Times New Roman" w:hAnsiTheme="majorBidi" w:cstheme="majorBidi"/>
          <w:sz w:val="24"/>
          <w:szCs w:val="24"/>
        </w:rPr>
      </w:pPr>
      <w:r w:rsidRPr="00FD0745">
        <w:rPr>
          <w:rFonts w:asciiTheme="majorBidi" w:eastAsia="Times New Roman" w:hAnsiTheme="majorBidi" w:cstheme="majorBidi"/>
          <w:sz w:val="24"/>
          <w:szCs w:val="24"/>
        </w:rPr>
        <w:t>Myrrh is an oleo-gum-resin produced in the stem of </w:t>
      </w:r>
      <w:proofErr w:type="spellStart"/>
      <w:r w:rsidRPr="00F03BA0">
        <w:rPr>
          <w:rFonts w:asciiTheme="majorBidi" w:eastAsia="Times New Roman" w:hAnsiTheme="majorBidi" w:cstheme="majorBidi"/>
          <w:i/>
          <w:iCs/>
          <w:sz w:val="24"/>
          <w:szCs w:val="24"/>
        </w:rPr>
        <w:t>Commiphora</w:t>
      </w:r>
      <w:proofErr w:type="spellEnd"/>
      <w:r w:rsidRPr="00F03BA0">
        <w:rPr>
          <w:rFonts w:asciiTheme="majorBidi" w:eastAsia="Times New Roman" w:hAnsiTheme="majorBidi" w:cstheme="majorBidi"/>
          <w:i/>
          <w:iCs/>
          <w:sz w:val="24"/>
          <w:szCs w:val="24"/>
        </w:rPr>
        <w:t xml:space="preserve"> </w:t>
      </w:r>
      <w:proofErr w:type="spellStart"/>
      <w:r w:rsidRPr="00F03BA0">
        <w:rPr>
          <w:rFonts w:asciiTheme="majorBidi" w:eastAsia="Times New Roman" w:hAnsiTheme="majorBidi" w:cstheme="majorBidi"/>
          <w:i/>
          <w:iCs/>
          <w:sz w:val="24"/>
          <w:szCs w:val="24"/>
        </w:rPr>
        <w:t>myrrha</w:t>
      </w:r>
      <w:proofErr w:type="spellEnd"/>
      <w:r w:rsidRPr="00FD0745">
        <w:rPr>
          <w:rFonts w:asciiTheme="majorBidi" w:eastAsia="Times New Roman" w:hAnsiTheme="majorBidi" w:cstheme="majorBidi"/>
          <w:sz w:val="24"/>
          <w:szCs w:val="24"/>
        </w:rPr>
        <w:t> (</w:t>
      </w:r>
      <w:proofErr w:type="spellStart"/>
      <w:r w:rsidRPr="00FD0745">
        <w:rPr>
          <w:rFonts w:asciiTheme="majorBidi" w:eastAsia="Times New Roman" w:hAnsiTheme="majorBidi" w:cstheme="majorBidi"/>
          <w:sz w:val="24"/>
          <w:szCs w:val="24"/>
        </w:rPr>
        <w:t>Burseraceae</w:t>
      </w:r>
      <w:proofErr w:type="spellEnd"/>
      <w:r w:rsidRPr="00FD0745">
        <w:rPr>
          <w:rFonts w:asciiTheme="majorBidi" w:eastAsia="Times New Roman" w:hAnsiTheme="majorBidi" w:cstheme="majorBidi"/>
          <w:sz w:val="24"/>
          <w:szCs w:val="24"/>
        </w:rPr>
        <w:t xml:space="preserve">) and used for centuries for different medicinal purposes. The present work was designed to evaluate the cytotoxic and antioxidant properties of seventeen myrrh samples (S1–S17) obtained from different retail markets of Saudi Arabia and Yemen regions, along with two </w:t>
      </w:r>
      <w:proofErr w:type="spellStart"/>
      <w:r w:rsidRPr="00FD0745">
        <w:rPr>
          <w:rFonts w:asciiTheme="majorBidi" w:eastAsia="Times New Roman" w:hAnsiTheme="majorBidi" w:cstheme="majorBidi"/>
          <w:sz w:val="24"/>
          <w:szCs w:val="24"/>
        </w:rPr>
        <w:t>furanosesquiterpenoids</w:t>
      </w:r>
      <w:proofErr w:type="spellEnd"/>
      <w:r w:rsidRPr="00FD0745">
        <w:rPr>
          <w:rFonts w:asciiTheme="majorBidi" w:eastAsia="Times New Roman" w:hAnsiTheme="majorBidi" w:cstheme="majorBidi"/>
          <w:sz w:val="24"/>
          <w:szCs w:val="24"/>
        </w:rPr>
        <w:t xml:space="preserve"> (CM-1 and CM-2). The cytotoxicity assay was carried out on HepG2, MCF-7 and HUVEC cell lines. S2, S5, S10, S12, CM-1, CM-2 exhibited significant cytotoxicity against HepG2/MCF-7 cell lines [IC50 (</w:t>
      </w:r>
      <w:proofErr w:type="spellStart"/>
      <w:r w:rsidRPr="00FD0745">
        <w:rPr>
          <w:rFonts w:asciiTheme="majorBidi" w:eastAsia="Times New Roman" w:hAnsiTheme="majorBidi" w:cstheme="majorBidi"/>
          <w:sz w:val="24"/>
          <w:szCs w:val="24"/>
        </w:rPr>
        <w:t>μg</w:t>
      </w:r>
      <w:proofErr w:type="spellEnd"/>
      <w:r w:rsidRPr="00FD0745">
        <w:rPr>
          <w:rFonts w:asciiTheme="majorBidi" w:eastAsia="Times New Roman" w:hAnsiTheme="majorBidi" w:cstheme="majorBidi"/>
          <w:sz w:val="24"/>
          <w:szCs w:val="24"/>
        </w:rPr>
        <w:t xml:space="preserve">/mL): 13.8/10, 14/10, 14.5/11.3, 18/13.2, 9.5/12.5, 10/15.8, respectively) compare to </w:t>
      </w:r>
      <w:proofErr w:type="spellStart"/>
      <w:r w:rsidRPr="00FD0745">
        <w:rPr>
          <w:rFonts w:asciiTheme="majorBidi" w:eastAsia="Times New Roman" w:hAnsiTheme="majorBidi" w:cstheme="majorBidi"/>
          <w:sz w:val="24"/>
          <w:szCs w:val="24"/>
        </w:rPr>
        <w:t>vinblastin</w:t>
      </w:r>
      <w:proofErr w:type="spellEnd"/>
      <w:r w:rsidRPr="00FD0745">
        <w:rPr>
          <w:rFonts w:asciiTheme="majorBidi" w:eastAsia="Times New Roman" w:hAnsiTheme="majorBidi" w:cstheme="majorBidi"/>
          <w:sz w:val="24"/>
          <w:szCs w:val="24"/>
        </w:rPr>
        <w:t xml:space="preserve"> (IC</w:t>
      </w:r>
      <w:r w:rsidRPr="00FD0745">
        <w:rPr>
          <w:rFonts w:asciiTheme="majorBidi" w:eastAsia="Times New Roman" w:hAnsiTheme="majorBidi" w:cstheme="majorBidi"/>
          <w:sz w:val="24"/>
          <w:szCs w:val="24"/>
          <w:vertAlign w:val="subscript"/>
        </w:rPr>
        <w:t>50</w:t>
      </w:r>
      <w:r w:rsidRPr="00FD0745">
        <w:rPr>
          <w:rFonts w:asciiTheme="majorBidi" w:eastAsia="Times New Roman" w:hAnsiTheme="majorBidi" w:cstheme="majorBidi"/>
          <w:sz w:val="24"/>
          <w:szCs w:val="24"/>
        </w:rPr>
        <w:t> (</w:t>
      </w:r>
      <w:proofErr w:type="spellStart"/>
      <w:r w:rsidRPr="00FD0745">
        <w:rPr>
          <w:rFonts w:asciiTheme="majorBidi" w:eastAsia="Times New Roman" w:hAnsiTheme="majorBidi" w:cstheme="majorBidi"/>
          <w:sz w:val="24"/>
          <w:szCs w:val="24"/>
        </w:rPr>
        <w:t>μg</w:t>
      </w:r>
      <w:proofErr w:type="spellEnd"/>
      <w:r w:rsidRPr="00FD0745">
        <w:rPr>
          <w:rFonts w:asciiTheme="majorBidi" w:eastAsia="Times New Roman" w:hAnsiTheme="majorBidi" w:cstheme="majorBidi"/>
          <w:sz w:val="24"/>
          <w:szCs w:val="24"/>
        </w:rPr>
        <w:t>/mL): 2/2.5) whereas the remaining samples were found as mild active or inactive. The antioxidant properties of the samples were tested by β-carotene-bleaching and DPPH free radical scavenging methods where the samples S8 (1000 </w:t>
      </w:r>
      <w:proofErr w:type="spellStart"/>
      <w:r w:rsidRPr="00FD0745">
        <w:rPr>
          <w:rFonts w:asciiTheme="majorBidi" w:eastAsia="Times New Roman" w:hAnsiTheme="majorBidi" w:cstheme="majorBidi"/>
          <w:sz w:val="24"/>
          <w:szCs w:val="24"/>
        </w:rPr>
        <w:t>μg</w:t>
      </w:r>
      <w:proofErr w:type="spellEnd"/>
      <w:r w:rsidRPr="00FD0745">
        <w:rPr>
          <w:rFonts w:asciiTheme="majorBidi" w:eastAsia="Times New Roman" w:hAnsiTheme="majorBidi" w:cstheme="majorBidi"/>
          <w:sz w:val="24"/>
          <w:szCs w:val="24"/>
        </w:rPr>
        <w:t xml:space="preserve">/mL) exhibited the highest β-carotene bleaching (76.2%) and free radical scavenging activity (79.8%). The HPTLC analysis was performed on NP-HPTLC plate using toluene, chloroform and glacial acetic acid as mobile phase in ratio of 7:2.9:0.1 (V/V/V). The validated HPTLC method furnished sharp, intense and compact peaks of CM-1 and CM-2 at </w:t>
      </w:r>
      <w:proofErr w:type="spellStart"/>
      <w:r w:rsidRPr="00FD0745">
        <w:rPr>
          <w:rFonts w:asciiTheme="majorBidi" w:eastAsia="Times New Roman" w:hAnsiTheme="majorBidi" w:cstheme="majorBidi"/>
          <w:sz w:val="24"/>
          <w:szCs w:val="24"/>
        </w:rPr>
        <w:t>Rf</w:t>
      </w:r>
      <w:proofErr w:type="spellEnd"/>
      <w:r w:rsidRPr="00FD0745">
        <w:rPr>
          <w:rFonts w:asciiTheme="majorBidi" w:eastAsia="Times New Roman" w:hAnsiTheme="majorBidi" w:cstheme="majorBidi"/>
          <w:sz w:val="24"/>
          <w:szCs w:val="24"/>
        </w:rPr>
        <w:t> = 0.39 and 0.44, respectively. The highest/lowest content of CM-1 and CM-2 were found in S12/S5 and S5/S17, respectively. The molecular docking studies of CM-1 and CM-2 with human DNA topoisomerase IIα have shown that both the compounds were bound the active sites of the respective enzymes. Molecular dynamics simulation studies further confirmed that the interactions of CM-1 and CM-2 with topoisomerase were stable in nature. This study will help us in selection of appropriate myrrh sample for the greater benefits of the population in the Middle East region.</w:t>
      </w:r>
    </w:p>
    <w:p w:rsidR="002F78B1" w:rsidRPr="00F03BA0" w:rsidRDefault="00F03BA0">
      <w:pPr>
        <w:rPr>
          <w:rFonts w:asciiTheme="majorBidi" w:hAnsiTheme="majorBidi" w:cstheme="majorBidi"/>
        </w:rPr>
      </w:pPr>
    </w:p>
    <w:sectPr w:rsidR="002F78B1" w:rsidRPr="00F03B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31B"/>
    <w:rsid w:val="00030FA5"/>
    <w:rsid w:val="0011531B"/>
    <w:rsid w:val="001279AE"/>
    <w:rsid w:val="00F03BA0"/>
    <w:rsid w:val="00FD07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B3B87"/>
  <w15:chartTrackingRefBased/>
  <w15:docId w15:val="{5F69F12F-D2F3-4B23-B360-584230F7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D074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FD07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FD0745"/>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D0745"/>
    <w:rPr>
      <w:rFonts w:ascii="Times New Roman" w:eastAsia="Times New Roman" w:hAnsi="Times New Roman" w:cs="Times New Roman"/>
      <w:b/>
      <w:bCs/>
      <w:sz w:val="36"/>
      <w:szCs w:val="36"/>
    </w:rPr>
  </w:style>
  <w:style w:type="character" w:styleId="Emphasis">
    <w:name w:val="Emphasis"/>
    <w:basedOn w:val="DefaultParagraphFont"/>
    <w:uiPriority w:val="20"/>
    <w:qFormat/>
    <w:rsid w:val="00FD07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30920">
      <w:bodyDiv w:val="1"/>
      <w:marLeft w:val="0"/>
      <w:marRight w:val="0"/>
      <w:marTop w:val="0"/>
      <w:marBottom w:val="0"/>
      <w:divBdr>
        <w:top w:val="none" w:sz="0" w:space="0" w:color="auto"/>
        <w:left w:val="none" w:sz="0" w:space="0" w:color="auto"/>
        <w:bottom w:val="none" w:sz="0" w:space="0" w:color="auto"/>
        <w:right w:val="none" w:sz="0" w:space="0" w:color="auto"/>
      </w:divBdr>
      <w:divsChild>
        <w:div w:id="826046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290</Words>
  <Characters>1656</Characters>
  <Application>Microsoft Office Word</Application>
  <DocSecurity>0</DocSecurity>
  <Lines>13</Lines>
  <Paragraphs>3</Paragraphs>
  <ScaleCrop>false</ScaleCrop>
  <Company>King Saud University</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2020-01-21T17:22:00Z</dcterms:created>
  <dcterms:modified xsi:type="dcterms:W3CDTF">2020-01-21T17:30:00Z</dcterms:modified>
</cp:coreProperties>
</file>