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58E" w:rsidRPr="00796179" w:rsidRDefault="008A758E" w:rsidP="008A758E">
      <w:pPr>
        <w:autoSpaceDE w:val="0"/>
        <w:autoSpaceDN w:val="0"/>
        <w:adjustRightInd w:val="0"/>
        <w:spacing w:after="0" w:line="276" w:lineRule="auto"/>
        <w:jc w:val="center"/>
        <w:rPr>
          <w:rFonts w:ascii="Palatino Linotype" w:eastAsiaTheme="minorEastAsia" w:hAnsi="Palatino Linotype" w:cstheme="majorBidi"/>
          <w:b/>
          <w:sz w:val="28"/>
          <w:szCs w:val="28"/>
          <w:lang w:val="en-US"/>
        </w:rPr>
      </w:pPr>
      <w:r w:rsidRPr="00796179">
        <w:rPr>
          <w:rFonts w:ascii="Palatino Linotype" w:eastAsiaTheme="minorEastAsia" w:hAnsi="Palatino Linotype" w:cstheme="majorBidi"/>
          <w:b/>
          <w:sz w:val="28"/>
          <w:szCs w:val="28"/>
          <w:lang w:val="en-US"/>
        </w:rPr>
        <w:t xml:space="preserve">Durability and </w:t>
      </w:r>
      <w:r>
        <w:rPr>
          <w:rFonts w:ascii="Palatino Linotype" w:eastAsiaTheme="minorEastAsia" w:hAnsi="Palatino Linotype" w:cstheme="majorBidi"/>
          <w:b/>
          <w:sz w:val="28"/>
          <w:szCs w:val="28"/>
          <w:lang w:val="en-US"/>
        </w:rPr>
        <w:t>M</w:t>
      </w:r>
      <w:r w:rsidRPr="00796179">
        <w:rPr>
          <w:rFonts w:ascii="Palatino Linotype" w:eastAsiaTheme="minorEastAsia" w:hAnsi="Palatino Linotype" w:cstheme="majorBidi"/>
          <w:b/>
          <w:sz w:val="28"/>
          <w:szCs w:val="28"/>
          <w:lang w:val="en-US"/>
        </w:rPr>
        <w:t xml:space="preserve">icrostructural </w:t>
      </w:r>
      <w:r>
        <w:rPr>
          <w:rFonts w:ascii="Palatino Linotype" w:eastAsiaTheme="minorEastAsia" w:hAnsi="Palatino Linotype" w:cstheme="majorBidi"/>
          <w:b/>
          <w:sz w:val="28"/>
          <w:szCs w:val="28"/>
          <w:lang w:val="en-US"/>
        </w:rPr>
        <w:t>P</w:t>
      </w:r>
      <w:r w:rsidRPr="00796179">
        <w:rPr>
          <w:rFonts w:ascii="Palatino Linotype" w:eastAsiaTheme="minorEastAsia" w:hAnsi="Palatino Linotype" w:cstheme="majorBidi"/>
          <w:b/>
          <w:sz w:val="28"/>
          <w:szCs w:val="28"/>
          <w:lang w:val="en-US"/>
        </w:rPr>
        <w:t>roperties of Metakaolin based</w:t>
      </w:r>
      <w:r>
        <w:rPr>
          <w:rFonts w:ascii="Palatino Linotype" w:eastAsiaTheme="minorEastAsia" w:hAnsi="Palatino Linotype" w:cstheme="majorBidi"/>
          <w:b/>
          <w:sz w:val="28"/>
          <w:szCs w:val="28"/>
          <w:lang w:val="en-US"/>
        </w:rPr>
        <w:t xml:space="preserve"> </w:t>
      </w:r>
      <w:r w:rsidRPr="00796179">
        <w:rPr>
          <w:rFonts w:ascii="Palatino Linotype" w:eastAsiaTheme="minorEastAsia" w:hAnsi="Palatino Linotype" w:cstheme="majorBidi"/>
          <w:b/>
          <w:sz w:val="28"/>
          <w:szCs w:val="28"/>
          <w:lang w:val="en-US"/>
        </w:rPr>
        <w:t>Geopolymer Materials Incorporating Untreated Phosphate Washing Sludge</w:t>
      </w:r>
    </w:p>
    <w:p w:rsidR="008A758E" w:rsidRPr="00796179" w:rsidRDefault="008A758E" w:rsidP="008A758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sz w:val="28"/>
          <w:szCs w:val="28"/>
          <w:lang w:val="en-CA"/>
        </w:rPr>
      </w:pPr>
    </w:p>
    <w:p w:rsidR="008A758E" w:rsidRPr="00796179" w:rsidRDefault="008A758E" w:rsidP="008A758E">
      <w:pPr>
        <w:jc w:val="center"/>
        <w:rPr>
          <w:rFonts w:asciiTheme="majorHAnsi" w:hAnsiTheme="majorHAnsi" w:cstheme="majorHAnsi"/>
          <w:b/>
          <w:bCs/>
          <w:lang w:val="en-CA"/>
        </w:rPr>
      </w:pPr>
      <w:r w:rsidRPr="00796179">
        <w:rPr>
          <w:rFonts w:asciiTheme="majorHAnsi" w:hAnsiTheme="majorHAnsi" w:cstheme="majorHAnsi"/>
          <w:b/>
          <w:bCs/>
          <w:lang w:val="en-CA"/>
        </w:rPr>
        <w:t>H. Hamdane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1</w:t>
      </w:r>
      <w:r w:rsidRPr="00796179">
        <w:rPr>
          <w:rFonts w:asciiTheme="majorHAnsi" w:hAnsiTheme="majorHAnsi" w:cstheme="majorHAnsi"/>
          <w:b/>
          <w:bCs/>
          <w:vertAlign w:val="superscript"/>
          <w:lang w:val="en-CA"/>
        </w:rPr>
        <w:t xml:space="preserve">, 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2</w:t>
      </w:r>
      <w:r w:rsidRPr="00796179">
        <w:rPr>
          <w:rFonts w:asciiTheme="majorHAnsi" w:hAnsiTheme="majorHAnsi" w:cstheme="majorHAnsi"/>
          <w:b/>
          <w:bCs/>
          <w:vertAlign w:val="superscript"/>
          <w:lang w:val="en-CA"/>
        </w:rPr>
        <w:t>, *</w:t>
      </w:r>
      <w:r w:rsidRPr="00796179">
        <w:rPr>
          <w:rFonts w:asciiTheme="majorHAnsi" w:hAnsiTheme="majorHAnsi" w:cstheme="majorHAnsi"/>
          <w:b/>
          <w:bCs/>
          <w:lang w:val="en-CA"/>
        </w:rPr>
        <w:t>, Y. Tamraoui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3</w:t>
      </w:r>
      <w:r w:rsidRPr="00796179">
        <w:rPr>
          <w:rFonts w:asciiTheme="majorHAnsi" w:hAnsiTheme="majorHAnsi" w:cstheme="majorHAnsi"/>
          <w:b/>
          <w:bCs/>
          <w:vertAlign w:val="superscript"/>
          <w:lang w:val="en-CA"/>
        </w:rPr>
        <w:t>,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4</w:t>
      </w:r>
      <w:r w:rsidRPr="00796179">
        <w:rPr>
          <w:rFonts w:asciiTheme="majorHAnsi" w:hAnsiTheme="majorHAnsi" w:cstheme="majorHAnsi"/>
          <w:b/>
          <w:bCs/>
          <w:lang w:val="en-CA"/>
        </w:rPr>
        <w:t>, S. Mansouri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1</w:t>
      </w:r>
      <w:r w:rsidRPr="00796179">
        <w:rPr>
          <w:rFonts w:asciiTheme="majorHAnsi" w:hAnsiTheme="majorHAnsi" w:cstheme="majorHAnsi"/>
          <w:b/>
          <w:bCs/>
          <w:lang w:val="en-CA"/>
        </w:rPr>
        <w:t>, M. Oumam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1</w:t>
      </w:r>
      <w:r w:rsidRPr="00796179">
        <w:rPr>
          <w:rFonts w:asciiTheme="majorHAnsi" w:hAnsiTheme="majorHAnsi" w:cstheme="majorHAnsi"/>
          <w:b/>
          <w:bCs/>
          <w:lang w:val="en-CA"/>
        </w:rPr>
        <w:t>, A. Bouih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2</w:t>
      </w:r>
      <w:r w:rsidRPr="00796179">
        <w:rPr>
          <w:rFonts w:asciiTheme="majorHAnsi" w:hAnsiTheme="majorHAnsi" w:cstheme="majorHAnsi"/>
          <w:b/>
          <w:bCs/>
          <w:lang w:val="en-CA"/>
        </w:rPr>
        <w:t>, T.</w:t>
      </w:r>
      <w:r w:rsidRPr="00796179">
        <w:rPr>
          <w:rFonts w:asciiTheme="majorHAnsi" w:hAnsiTheme="majorHAnsi" w:cstheme="majorHAnsi"/>
          <w:b/>
          <w:bCs/>
          <w:vertAlign w:val="superscript"/>
          <w:lang w:val="en-CA"/>
        </w:rPr>
        <w:t xml:space="preserve"> </w:t>
      </w:r>
      <w:r w:rsidRPr="00796179">
        <w:rPr>
          <w:rFonts w:asciiTheme="majorHAnsi" w:hAnsiTheme="majorHAnsi" w:cstheme="majorHAnsi"/>
          <w:b/>
          <w:bCs/>
          <w:lang w:val="en-CA"/>
        </w:rPr>
        <w:t>El Ghailassi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2</w:t>
      </w:r>
      <w:r>
        <w:rPr>
          <w:rFonts w:asciiTheme="majorHAnsi" w:hAnsiTheme="majorHAnsi" w:cstheme="majorHAnsi"/>
          <w:b/>
          <w:bCs/>
          <w:lang w:val="en-CA"/>
        </w:rPr>
        <w:t>,</w:t>
      </w:r>
      <w:r w:rsidRPr="00796179">
        <w:rPr>
          <w:rFonts w:asciiTheme="majorHAnsi" w:hAnsiTheme="majorHAnsi" w:cstheme="majorHAnsi"/>
          <w:b/>
          <w:bCs/>
          <w:lang w:val="en-CA"/>
        </w:rPr>
        <w:t xml:space="preserve"> R. Boulif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5</w:t>
      </w:r>
      <w:r w:rsidRPr="00796179">
        <w:rPr>
          <w:rFonts w:asciiTheme="majorHAnsi" w:hAnsiTheme="majorHAnsi" w:cstheme="majorHAnsi"/>
          <w:b/>
          <w:bCs/>
          <w:lang w:val="en-CA"/>
        </w:rPr>
        <w:t>, B. Manoun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3</w:t>
      </w:r>
      <w:r w:rsidRPr="00796179">
        <w:rPr>
          <w:rFonts w:asciiTheme="majorHAnsi" w:hAnsiTheme="majorHAnsi" w:cstheme="majorHAnsi"/>
          <w:b/>
          <w:bCs/>
          <w:vertAlign w:val="superscript"/>
          <w:lang w:val="en-CA"/>
        </w:rPr>
        <w:t>,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4</w:t>
      </w:r>
      <w:r w:rsidRPr="00796179">
        <w:rPr>
          <w:rFonts w:asciiTheme="majorHAnsi" w:hAnsiTheme="majorHAnsi" w:cstheme="majorHAnsi"/>
          <w:b/>
          <w:bCs/>
          <w:lang w:val="en-CA"/>
        </w:rPr>
        <w:t xml:space="preserve"> And H. Hannache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1</w:t>
      </w:r>
      <w:r w:rsidRPr="00796179">
        <w:rPr>
          <w:rFonts w:asciiTheme="majorHAnsi" w:hAnsiTheme="majorHAnsi" w:cstheme="majorHAnsi"/>
          <w:b/>
          <w:bCs/>
          <w:vertAlign w:val="superscript"/>
          <w:lang w:val="en-CA"/>
        </w:rPr>
        <w:t xml:space="preserve">, </w:t>
      </w:r>
      <w:r w:rsidRPr="006763D5">
        <w:rPr>
          <w:rFonts w:asciiTheme="majorHAnsi" w:hAnsiTheme="majorHAnsi" w:cstheme="majorHAnsi"/>
          <w:b/>
          <w:bCs/>
          <w:color w:val="00B0F0"/>
          <w:vertAlign w:val="superscript"/>
          <w:lang w:val="en-CA"/>
        </w:rPr>
        <w:t>3</w:t>
      </w:r>
    </w:p>
    <w:p w:rsidR="008A758E" w:rsidRPr="00796179" w:rsidRDefault="008A758E" w:rsidP="008A7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both"/>
        <w:rPr>
          <w:rFonts w:ascii="Palatino Linotype" w:eastAsiaTheme="minorEastAsia" w:hAnsi="Palatino Linotype" w:cs="Times New Roman"/>
          <w:sz w:val="20"/>
          <w:szCs w:val="20"/>
          <w:lang w:val="en-US"/>
        </w:rPr>
      </w:pPr>
      <w:r w:rsidRPr="006763D5">
        <w:rPr>
          <w:rFonts w:ascii="Palatino Linotype" w:eastAsiaTheme="minorEastAsia" w:hAnsi="Palatino Linotype" w:cs="Times New Roman"/>
          <w:color w:val="00B0F0"/>
          <w:sz w:val="24"/>
          <w:szCs w:val="24"/>
          <w:vertAlign w:val="superscript"/>
          <w:lang w:val="en-US"/>
        </w:rPr>
        <w:t>1</w:t>
      </w:r>
      <w:r>
        <w:rPr>
          <w:rFonts w:ascii="Palatino Linotype" w:eastAsiaTheme="minorEastAsia" w:hAnsi="Palatino Linotype" w:cs="Times New Roman"/>
          <w:sz w:val="20"/>
          <w:szCs w:val="20"/>
          <w:lang w:val="en-US"/>
        </w:rPr>
        <w:t xml:space="preserve"> </w:t>
      </w:r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 xml:space="preserve">Laboratory of Engineering and Materials LIMAT, Faculty of Science Ben </w:t>
      </w:r>
      <w:proofErr w:type="spellStart"/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>M’Sik</w:t>
      </w:r>
      <w:proofErr w:type="spellEnd"/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>, University Hassan II of Casablanca, Casablanca, Morocco.</w:t>
      </w:r>
    </w:p>
    <w:p w:rsidR="008A758E" w:rsidRPr="00796179" w:rsidRDefault="008A758E" w:rsidP="008A7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both"/>
        <w:rPr>
          <w:rFonts w:ascii="Palatino Linotype" w:eastAsiaTheme="minorEastAsia" w:hAnsi="Palatino Linotype" w:cs="Times New Roman"/>
          <w:sz w:val="20"/>
          <w:szCs w:val="20"/>
          <w:lang w:val="en-US"/>
        </w:rPr>
      </w:pPr>
      <w:r w:rsidRPr="006763D5">
        <w:rPr>
          <w:rFonts w:ascii="Palatino Linotype" w:eastAsiaTheme="minorEastAsia" w:hAnsi="Palatino Linotype" w:cs="Times New Roman"/>
          <w:color w:val="00B0F0"/>
          <w:sz w:val="24"/>
          <w:szCs w:val="24"/>
          <w:vertAlign w:val="superscript"/>
          <w:lang w:val="en-US"/>
        </w:rPr>
        <w:t>2</w:t>
      </w:r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 xml:space="preserve"> National Center of Sciences, Technology and Nuclear Energy (CNESTN), Center for Nuclear Studies-</w:t>
      </w:r>
      <w:proofErr w:type="spellStart"/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>Maamoura</w:t>
      </w:r>
      <w:proofErr w:type="spellEnd"/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 xml:space="preserve"> (CENM), Rabat, Morocco.</w:t>
      </w:r>
    </w:p>
    <w:p w:rsidR="008A758E" w:rsidRPr="00796179" w:rsidRDefault="008A758E" w:rsidP="008A7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both"/>
        <w:rPr>
          <w:rFonts w:ascii="Palatino Linotype" w:eastAsiaTheme="minorEastAsia" w:hAnsi="Palatino Linotype" w:cs="Times New Roman"/>
          <w:sz w:val="20"/>
          <w:szCs w:val="20"/>
          <w:lang w:val="en-US"/>
        </w:rPr>
      </w:pPr>
      <w:r w:rsidRPr="006763D5">
        <w:rPr>
          <w:rFonts w:ascii="Palatino Linotype" w:eastAsiaTheme="minorEastAsia" w:hAnsi="Palatino Linotype" w:cs="Times New Roman"/>
          <w:color w:val="00B0F0"/>
          <w:sz w:val="24"/>
          <w:szCs w:val="24"/>
          <w:vertAlign w:val="superscript"/>
          <w:lang w:val="en-US"/>
        </w:rPr>
        <w:t>3</w:t>
      </w:r>
      <w:r>
        <w:rPr>
          <w:rFonts w:ascii="Palatino Linotype" w:eastAsiaTheme="minorEastAsia" w:hAnsi="Palatino Linotype" w:cs="Times New Roman"/>
          <w:sz w:val="20"/>
          <w:szCs w:val="20"/>
          <w:lang w:val="en-US"/>
        </w:rPr>
        <w:t xml:space="preserve"> </w:t>
      </w:r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 xml:space="preserve">Materials Science and Nanoengineering Department, Mohamed VI Polytechnic University, </w:t>
      </w:r>
      <w:proofErr w:type="spellStart"/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>Benguerir</w:t>
      </w:r>
      <w:proofErr w:type="spellEnd"/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>, Morocco.</w:t>
      </w:r>
    </w:p>
    <w:p w:rsidR="008A758E" w:rsidRPr="00796179" w:rsidRDefault="008A758E" w:rsidP="008A7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both"/>
        <w:rPr>
          <w:rFonts w:ascii="Palatino Linotype" w:eastAsiaTheme="minorEastAsia" w:hAnsi="Palatino Linotype" w:cs="Times New Roman"/>
          <w:sz w:val="20"/>
          <w:szCs w:val="20"/>
        </w:rPr>
      </w:pPr>
      <w:r w:rsidRPr="006763D5">
        <w:rPr>
          <w:rFonts w:ascii="Palatino Linotype" w:eastAsiaTheme="minorEastAsia" w:hAnsi="Palatino Linotype" w:cs="Times New Roman"/>
          <w:color w:val="00B0F0"/>
          <w:sz w:val="24"/>
          <w:szCs w:val="24"/>
          <w:vertAlign w:val="superscript"/>
        </w:rPr>
        <w:t>4</w:t>
      </w:r>
      <w:r w:rsidRPr="00796179">
        <w:rPr>
          <w:rFonts w:ascii="Palatino Linotype" w:eastAsiaTheme="minorEastAsia" w:hAnsi="Palatino Linotype" w:cs="Times New Roman"/>
          <w:sz w:val="20"/>
          <w:szCs w:val="20"/>
        </w:rPr>
        <w:t xml:space="preserve"> Université Hassan 1er, Laboratoire des Sciences des Matériaux, des Milieux et de la modélisation (LS3M), FST Settat, Morocco.</w:t>
      </w:r>
    </w:p>
    <w:p w:rsidR="008A758E" w:rsidRPr="00796179" w:rsidRDefault="008A758E" w:rsidP="008A75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jc w:val="both"/>
        <w:rPr>
          <w:rFonts w:ascii="Palatino Linotype" w:eastAsiaTheme="minorEastAsia" w:hAnsi="Palatino Linotype" w:cs="Times New Roman"/>
          <w:sz w:val="20"/>
          <w:szCs w:val="20"/>
          <w:lang w:val="en-US"/>
        </w:rPr>
      </w:pPr>
      <w:r w:rsidRPr="006763D5">
        <w:rPr>
          <w:rFonts w:ascii="Palatino Linotype" w:eastAsiaTheme="minorEastAsia" w:hAnsi="Palatino Linotype" w:cs="Times New Roman"/>
          <w:color w:val="00B0F0"/>
          <w:sz w:val="24"/>
          <w:szCs w:val="24"/>
          <w:vertAlign w:val="superscript"/>
          <w:lang w:val="en-US"/>
        </w:rPr>
        <w:t>5</w:t>
      </w:r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 xml:space="preserve"> Chemical and Biochemical Sciences Department, Mohamed VI Polytechnic University, </w:t>
      </w:r>
      <w:proofErr w:type="spellStart"/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>Benguerir</w:t>
      </w:r>
      <w:proofErr w:type="spellEnd"/>
      <w:r w:rsidRPr="00796179">
        <w:rPr>
          <w:rFonts w:ascii="Palatino Linotype" w:eastAsiaTheme="minorEastAsia" w:hAnsi="Palatino Linotype" w:cs="Times New Roman"/>
          <w:sz w:val="20"/>
          <w:szCs w:val="20"/>
          <w:lang w:val="en-US"/>
        </w:rPr>
        <w:t>, Morocco.</w:t>
      </w:r>
    </w:p>
    <w:p w:rsidR="008A758E" w:rsidRPr="00796179" w:rsidRDefault="008A758E" w:rsidP="008A758E">
      <w:pPr>
        <w:jc w:val="center"/>
        <w:rPr>
          <w:rFonts w:ascii="Palatino Linotype" w:hAnsi="Palatino Linotype" w:cs="Times New Roman"/>
          <w:b/>
          <w:sz w:val="20"/>
          <w:szCs w:val="20"/>
          <w:u w:val="single"/>
          <w:lang w:val="en-CA"/>
        </w:rPr>
      </w:pPr>
      <w:r w:rsidRPr="00796179">
        <w:rPr>
          <w:rFonts w:ascii="Palatino Linotype" w:hAnsi="Palatino Linotype"/>
          <w:sz w:val="20"/>
          <w:szCs w:val="20"/>
          <w:lang w:val="en-CA"/>
        </w:rPr>
        <w:t xml:space="preserve">* </w:t>
      </w:r>
      <w:r w:rsidRPr="00796179">
        <w:rPr>
          <w:rFonts w:ascii="Palatino Linotype" w:hAnsi="Palatino Linotype" w:cs="Helvetica"/>
          <w:b/>
          <w:bCs/>
          <w:color w:val="00B0F0"/>
          <w:sz w:val="20"/>
          <w:szCs w:val="20"/>
          <w:shd w:val="clear" w:color="auto" w:fill="FFFFFF"/>
          <w:lang w:val="en-CA"/>
        </w:rPr>
        <w:t>Hamdanehasna@gmail.com</w:t>
      </w:r>
    </w:p>
    <w:p w:rsidR="008A758E" w:rsidRPr="00796179" w:rsidRDefault="008A758E" w:rsidP="008A758E">
      <w:pPr>
        <w:spacing w:after="200" w:line="276" w:lineRule="auto"/>
        <w:jc w:val="both"/>
        <w:rPr>
          <w:rFonts w:ascii="Palatino Linotype" w:eastAsia="Times New Roman" w:hAnsi="Palatino Linotype" w:cs="Times New Roman"/>
          <w:b/>
          <w:lang w:val="en-US"/>
        </w:rPr>
      </w:pPr>
      <w:r w:rsidRPr="00796179">
        <w:rPr>
          <w:rFonts w:ascii="Palatino Linotype" w:eastAsia="Times New Roman" w:hAnsi="Palatino Linotype" w:cs="Times New Roman"/>
          <w:b/>
          <w:lang w:val="en-US"/>
        </w:rPr>
        <w:t>Abstract</w:t>
      </w:r>
    </w:p>
    <w:p w:rsidR="008A758E" w:rsidRDefault="008A758E" w:rsidP="008A758E">
      <w:pPr>
        <w:jc w:val="both"/>
        <w:rPr>
          <w:rFonts w:ascii="Palatino Linotype" w:eastAsia="Times New Roman" w:hAnsi="Palatino Linotype" w:cs="Times New Roman"/>
          <w:sz w:val="20"/>
          <w:szCs w:val="20"/>
          <w:lang w:val="en-CA"/>
        </w:rPr>
      </w:pPr>
      <w:r w:rsidRPr="00720A3A">
        <w:rPr>
          <w:rFonts w:ascii="Palatino Linotype" w:eastAsia="Times New Roman" w:hAnsi="Palatino Linotype" w:cs="Times New Roman"/>
          <w:sz w:val="20"/>
          <w:szCs w:val="20"/>
          <w:lang w:val="en-CA"/>
        </w:rPr>
        <w:t>In this study, mechanical, visual, and microstructure changes of geopolymer concrete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incorporating 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>untreated phosphate washing sludge</w:t>
      </w:r>
      <w:r w:rsidRPr="00720A3A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796179">
        <w:rPr>
          <w:rFonts w:ascii="Palatino Linotype" w:eastAsia="Times New Roman" w:hAnsi="Palatino Linotype" w:cs="Times New Roman"/>
          <w:sz w:val="20"/>
          <w:szCs w:val="20"/>
          <w:lang w:val="en-US"/>
        </w:rPr>
        <w:t>(</w:t>
      </w:r>
      <w:proofErr w:type="spellStart"/>
      <w:r w:rsidRPr="00796179">
        <w:rPr>
          <w:rFonts w:ascii="Palatino Linotype" w:eastAsia="Times New Roman" w:hAnsi="Palatino Linotype" w:cs="Times New Roman"/>
          <w:sz w:val="20"/>
          <w:szCs w:val="20"/>
          <w:lang w:val="en-US"/>
        </w:rPr>
        <w:t>Ghantour</w:t>
      </w:r>
      <w:proofErr w:type="spellEnd"/>
      <w:r w:rsidRPr="00796179"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, </w:t>
      </w:r>
      <w:proofErr w:type="spellStart"/>
      <w:r w:rsidRPr="00796179">
        <w:rPr>
          <w:rFonts w:ascii="Palatino Linotype" w:eastAsia="Times New Roman" w:hAnsi="Palatino Linotype" w:cs="Times New Roman"/>
          <w:sz w:val="20"/>
          <w:szCs w:val="20"/>
          <w:lang w:val="en-US"/>
        </w:rPr>
        <w:t>Youssoufia</w:t>
      </w:r>
      <w:proofErr w:type="spellEnd"/>
      <w:r w:rsidRPr="00796179">
        <w:rPr>
          <w:rFonts w:ascii="Palatino Linotype" w:eastAsia="Times New Roman" w:hAnsi="Palatino Linotype" w:cs="Times New Roman"/>
          <w:sz w:val="20"/>
          <w:szCs w:val="20"/>
          <w:lang w:val="en-US"/>
        </w:rPr>
        <w:t>)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</w:t>
      </w:r>
      <w:r w:rsidRPr="00720A3A">
        <w:rPr>
          <w:rFonts w:ascii="Palatino Linotype" w:eastAsia="Times New Roman" w:hAnsi="Palatino Linotype" w:cs="Times New Roman"/>
          <w:sz w:val="20"/>
          <w:szCs w:val="20"/>
          <w:lang w:val="en-CA"/>
        </w:rPr>
        <w:t>were investigated.</w:t>
      </w:r>
      <w:r w:rsidRPr="00720A3A"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</w:t>
      </w:r>
      <w:r w:rsidRPr="00796179">
        <w:rPr>
          <w:rFonts w:ascii="Palatino Linotype" w:eastAsia="Times New Roman" w:hAnsi="Palatino Linotype" w:cs="Times New Roman"/>
          <w:sz w:val="20"/>
          <w:szCs w:val="20"/>
          <w:lang w:val="en-US"/>
        </w:rPr>
        <w:t>This process allows the recycling of a large amount of phosphate washing sludge without heat treatment as a partial replacement of metakaolin, which makes it very attractive from an economic and environmental point of view.</w:t>
      </w:r>
      <w:r w:rsidRPr="00720A3A"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>Geopolymer concretes which completed curing time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>were immersed in</w:t>
      </w:r>
      <w:r w:rsidRPr="00720A3A">
        <w:rPr>
          <w:lang w:val="en-US"/>
        </w:rPr>
        <w:t xml:space="preserve"> 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>h</w:t>
      </w:r>
      <w:r w:rsidRPr="00720A3A">
        <w:rPr>
          <w:rFonts w:ascii="Palatino Linotype" w:eastAsia="Times New Roman" w:hAnsi="Palatino Linotype" w:cs="Times New Roman"/>
          <w:sz w:val="20"/>
          <w:szCs w:val="20"/>
          <w:lang w:val="en-US"/>
        </w:rPr>
        <w:t>ydrochloric acid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(HCl), 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>sodium sulfate (Na</w:t>
      </w:r>
      <w:r w:rsidRPr="00720A3A">
        <w:rPr>
          <w:rFonts w:ascii="Palatino Linotype" w:eastAsia="Times New Roman" w:hAnsi="Palatino Linotype" w:cs="Times New Roman"/>
          <w:sz w:val="20"/>
          <w:szCs w:val="20"/>
          <w:vertAlign w:val="subscript"/>
          <w:lang w:val="en-US"/>
        </w:rPr>
        <w:t>2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>SO</w:t>
      </w:r>
      <w:r w:rsidRPr="00720A3A">
        <w:rPr>
          <w:rFonts w:ascii="Palatino Linotype" w:eastAsia="Times New Roman" w:hAnsi="Palatino Linotype" w:cs="Times New Roman"/>
          <w:sz w:val="20"/>
          <w:szCs w:val="20"/>
          <w:vertAlign w:val="subscript"/>
          <w:lang w:val="en-US"/>
        </w:rPr>
        <w:t>4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>)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and</w:t>
      </w:r>
      <w:r w:rsidRPr="00720A3A"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>sodium</w:t>
      </w:r>
      <w:r w:rsidRPr="00720A3A"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>chloride (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>Na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>Cl</w:t>
      </w:r>
      <w:r w:rsidRPr="00720A3A">
        <w:rPr>
          <w:rFonts w:ascii="Palatino Linotype" w:eastAsia="Times New Roman" w:hAnsi="Palatino Linotype" w:cs="Times New Roman"/>
          <w:sz w:val="20"/>
          <w:szCs w:val="20"/>
          <w:vertAlign w:val="subscript"/>
          <w:lang w:val="en-US"/>
        </w:rPr>
        <w:t>2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>) solutions for 12 weeks.</w:t>
      </w:r>
      <w:r w:rsidRPr="00720A3A">
        <w:rPr>
          <w:rFonts w:ascii="AdvOT8608a8d1" w:hAnsi="AdvOT8608a8d1" w:cs="AdvOT8608a8d1"/>
          <w:sz w:val="20"/>
          <w:szCs w:val="20"/>
          <w:lang w:val="en-CA"/>
        </w:rPr>
        <w:t xml:space="preserve"> </w:t>
      </w:r>
      <w:r>
        <w:rPr>
          <w:rFonts w:ascii="AdvOT8608a8d1" w:hAnsi="AdvOT8608a8d1" w:cs="AdvOT8608a8d1"/>
          <w:sz w:val="20"/>
          <w:szCs w:val="20"/>
          <w:lang w:val="en-CA"/>
        </w:rPr>
        <w:t xml:space="preserve">The effect </w:t>
      </w:r>
      <w:r w:rsidRPr="00A5705B">
        <w:rPr>
          <w:rFonts w:ascii="Palatino Linotype" w:eastAsia="Times New Roman" w:hAnsi="Palatino Linotype" w:cs="Times New Roman"/>
          <w:sz w:val="20"/>
          <w:szCs w:val="20"/>
          <w:lang w:val="en-US"/>
        </w:rPr>
        <w:t>of Metal alkali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type on t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CA"/>
        </w:rPr>
        <w:t>he compressive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CA"/>
        </w:rPr>
        <w:t>strength values, visual inspections, weight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720A3A">
        <w:rPr>
          <w:rFonts w:ascii="Palatino Linotype" w:eastAsia="Times New Roman" w:hAnsi="Palatino Linotype" w:cs="Times New Roman"/>
          <w:sz w:val="20"/>
          <w:szCs w:val="20"/>
          <w:lang w:val="en-US"/>
        </w:rPr>
        <w:t>and elevated-temperature exposure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CA"/>
        </w:rPr>
        <w:t>of the samples were determined in this investigation.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317C77">
        <w:rPr>
          <w:rFonts w:ascii="Palatino Linotype" w:eastAsia="Times New Roman" w:hAnsi="Palatino Linotype" w:cs="Times New Roman"/>
          <w:sz w:val="20"/>
          <w:szCs w:val="20"/>
          <w:lang w:val="en-CA"/>
        </w:rPr>
        <w:t>Microstructure studies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317C77">
        <w:rPr>
          <w:rFonts w:ascii="Palatino Linotype" w:eastAsia="Times New Roman" w:hAnsi="Palatino Linotype" w:cs="Times New Roman"/>
          <w:sz w:val="20"/>
          <w:szCs w:val="20"/>
          <w:lang w:val="en-CA"/>
        </w:rPr>
        <w:t>were conducted using X-Ray diffraction (XRD), Thermogravimetric analysis (TGA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>/DTG</w:t>
      </w:r>
      <w:r w:rsidRPr="00317C77">
        <w:rPr>
          <w:rFonts w:ascii="Palatino Linotype" w:eastAsia="Times New Roman" w:hAnsi="Palatino Linotype" w:cs="Times New Roman"/>
          <w:sz w:val="20"/>
          <w:szCs w:val="20"/>
          <w:lang w:val="en-CA"/>
        </w:rPr>
        <w:t>) and Attenuated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317C77">
        <w:rPr>
          <w:rFonts w:ascii="Palatino Linotype" w:eastAsia="Times New Roman" w:hAnsi="Palatino Linotype" w:cs="Times New Roman"/>
          <w:sz w:val="20"/>
          <w:szCs w:val="20"/>
          <w:lang w:val="en-CA"/>
        </w:rPr>
        <w:t>Total Reflectance Fourier Transform Infrared spectroscopy (ATR-FTIR).</w:t>
      </w:r>
      <w:r w:rsidRPr="00383DEF">
        <w:rPr>
          <w:rFonts w:ascii="AdvOT8608a8d1" w:hAnsi="AdvOT8608a8d1" w:cs="AdvOT8608a8d1"/>
          <w:sz w:val="20"/>
          <w:szCs w:val="20"/>
          <w:lang w:val="en-CA"/>
        </w:rPr>
        <w:t xml:space="preserve"> </w:t>
      </w:r>
      <w:r w:rsidRPr="00383DEF">
        <w:rPr>
          <w:rFonts w:ascii="Palatino Linotype" w:eastAsia="Times New Roman" w:hAnsi="Palatino Linotype" w:cs="Times New Roman"/>
          <w:sz w:val="20"/>
          <w:szCs w:val="20"/>
          <w:lang w:val="en-CA"/>
        </w:rPr>
        <w:t>In addition, scanning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383DEF">
        <w:rPr>
          <w:rFonts w:ascii="Palatino Linotype" w:eastAsia="Times New Roman" w:hAnsi="Palatino Linotype" w:cs="Times New Roman"/>
          <w:sz w:val="20"/>
          <w:szCs w:val="20"/>
          <w:lang w:val="en-CA"/>
        </w:rPr>
        <w:t>electron microscopy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(SEM-EDX)</w:t>
      </w:r>
      <w:r w:rsidRPr="00383DEF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was performed for the microstructure analysis of the samples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383DEF">
        <w:rPr>
          <w:rFonts w:ascii="Palatino Linotype" w:eastAsia="Times New Roman" w:hAnsi="Palatino Linotype" w:cs="Times New Roman"/>
          <w:sz w:val="20"/>
          <w:szCs w:val="20"/>
          <w:lang w:val="en-CA"/>
        </w:rPr>
        <w:t>removed from the solutions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and thermal treatment.</w:t>
      </w:r>
      <w:r w:rsidRPr="00317C77">
        <w:rPr>
          <w:rFonts w:ascii="CharisSIL" w:eastAsia="CharisSIL" w:cs="CharisSIL"/>
          <w:sz w:val="14"/>
          <w:szCs w:val="14"/>
          <w:lang w:val="en-CA"/>
        </w:rPr>
        <w:t xml:space="preserve"> </w:t>
      </w:r>
      <w:r w:rsidRPr="00317C77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It is concluded that 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geopolymer produce </w:t>
      </w:r>
      <w:r w:rsidRPr="00317C77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develop acceptable mechanical strength and demonstrate high resistance to sulphate 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and </w:t>
      </w:r>
      <w:r w:rsidRPr="00A40B07"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chloride </w:t>
      </w:r>
      <w:r w:rsidRPr="00317C77">
        <w:rPr>
          <w:rFonts w:ascii="Palatino Linotype" w:eastAsia="Times New Roman" w:hAnsi="Palatino Linotype" w:cs="Times New Roman"/>
          <w:sz w:val="20"/>
          <w:szCs w:val="20"/>
          <w:lang w:val="en-CA"/>
        </w:rPr>
        <w:t>attack.</w:t>
      </w:r>
      <w:r w:rsidRPr="00171811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317C77">
        <w:rPr>
          <w:rFonts w:ascii="Palatino Linotype" w:eastAsia="Times New Roman" w:hAnsi="Palatino Linotype" w:cs="Times New Roman"/>
          <w:sz w:val="20"/>
          <w:szCs w:val="20"/>
          <w:lang w:val="en-CA"/>
        </w:rPr>
        <w:t>They also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317C77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showed higher resistance to acid attack than the control mix based on 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>Metakaolin based geopolymer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>.</w:t>
      </w:r>
      <w:r w:rsidRPr="003B2654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A5705B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As the 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concentration of the alkaline solution </w:t>
      </w:r>
      <w:r w:rsidRPr="00A5705B">
        <w:rPr>
          <w:rFonts w:ascii="Palatino Linotype" w:eastAsia="Times New Roman" w:hAnsi="Palatino Linotype" w:cs="Times New Roman"/>
          <w:sz w:val="20"/>
          <w:szCs w:val="20"/>
          <w:lang w:val="en-CA"/>
        </w:rPr>
        <w:t>in the mixture increases, the loss rate in the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A5705B">
        <w:rPr>
          <w:rFonts w:ascii="Palatino Linotype" w:eastAsia="Times New Roman" w:hAnsi="Palatino Linotype" w:cs="Times New Roman"/>
          <w:sz w:val="20"/>
          <w:szCs w:val="20"/>
          <w:lang w:val="en-CA"/>
        </w:rPr>
        <w:t>strength of the samples exposed to</w:t>
      </w:r>
      <w:r w:rsidRPr="003B2654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acid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, </w:t>
      </w:r>
      <w:r w:rsidRPr="00A5705B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sulfate and salt solutions 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occurred a slight </w:t>
      </w:r>
      <w:r w:rsidRPr="00A5705B">
        <w:rPr>
          <w:rFonts w:ascii="Palatino Linotype" w:eastAsia="Times New Roman" w:hAnsi="Palatino Linotype" w:cs="Times New Roman"/>
          <w:sz w:val="20"/>
          <w:szCs w:val="20"/>
          <w:lang w:val="en-CA"/>
        </w:rPr>
        <w:t>decreased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>.</w:t>
      </w:r>
      <w:r w:rsidRPr="003B2654">
        <w:rPr>
          <w:lang w:val="en-CA"/>
        </w:rPr>
        <w:t xml:space="preserve"> </w:t>
      </w:r>
      <w:r w:rsidRPr="00C33BE4"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While samples exposed to thermal treatment occurred a weight loss and shows falling in the compressive strength. </w:t>
      </w:r>
      <w:r w:rsidRPr="00A5705B">
        <w:rPr>
          <w:rFonts w:ascii="Palatino Linotype" w:eastAsia="Times New Roman" w:hAnsi="Palatino Linotype" w:cs="Times New Roman"/>
          <w:sz w:val="20"/>
          <w:szCs w:val="20"/>
          <w:lang w:val="en-CA"/>
        </w:rPr>
        <w:t>No deterioration</w:t>
      </w:r>
      <w:r>
        <w:rPr>
          <w:rFonts w:ascii="Palatino Linotype" w:eastAsia="Times New Roman" w:hAnsi="Palatino Linotype" w:cs="Times New Roman"/>
          <w:sz w:val="20"/>
          <w:szCs w:val="20"/>
          <w:lang w:val="en-CA"/>
        </w:rPr>
        <w:t xml:space="preserve"> </w:t>
      </w:r>
      <w:r w:rsidRPr="00A5705B">
        <w:rPr>
          <w:rFonts w:ascii="Palatino Linotype" w:eastAsia="Times New Roman" w:hAnsi="Palatino Linotype" w:cs="Times New Roman"/>
          <w:sz w:val="20"/>
          <w:szCs w:val="20"/>
          <w:lang w:val="en-CA"/>
        </w:rPr>
        <w:t>occurred on the surfaces of the samples exposed to the solutions for 12 weeks.</w:t>
      </w:r>
      <w:r w:rsidRPr="006763D5">
        <w:rPr>
          <w:lang w:val="en-CA"/>
        </w:rPr>
        <w:t xml:space="preserve"> </w:t>
      </w:r>
      <w:r w:rsidRPr="006763D5">
        <w:rPr>
          <w:rFonts w:ascii="Palatino Linotype" w:eastAsia="Times New Roman" w:hAnsi="Palatino Linotype" w:cs="Times New Roman"/>
          <w:sz w:val="20"/>
          <w:szCs w:val="20"/>
          <w:lang w:val="en-CA"/>
        </w:rPr>
        <w:t>Here, emphasis is placed on the potential of reusing phosphate sludge with excellent performance and less complicated production geopolymer methods as well as a low carbon footprint.</w:t>
      </w:r>
    </w:p>
    <w:p w:rsidR="00A521BD" w:rsidRPr="008A758E" w:rsidRDefault="008A758E" w:rsidP="008A758E">
      <w:pPr>
        <w:spacing w:after="200" w:line="276" w:lineRule="auto"/>
        <w:jc w:val="both"/>
        <w:rPr>
          <w:lang w:val="en-CA"/>
        </w:rPr>
      </w:pPr>
      <w:r w:rsidRPr="00796179">
        <w:rPr>
          <w:rFonts w:ascii="Palatino Linotype" w:eastAsia="Times New Roman" w:hAnsi="Palatino Linotype" w:cs="Times New Roman"/>
          <w:b/>
          <w:sz w:val="24"/>
          <w:szCs w:val="24"/>
          <w:lang w:val="en-US"/>
        </w:rPr>
        <w:t>Keywords:</w:t>
      </w:r>
      <w:r>
        <w:rPr>
          <w:rFonts w:ascii="Palatino Linotype" w:eastAsia="Times New Roman" w:hAnsi="Palatino Linotype" w:cs="Times New Roman"/>
          <w:b/>
          <w:sz w:val="24"/>
          <w:szCs w:val="24"/>
          <w:lang w:val="en-US"/>
        </w:rPr>
        <w:t xml:space="preserve"> </w:t>
      </w:r>
      <w:r w:rsidRPr="00796179">
        <w:rPr>
          <w:rFonts w:ascii="Palatino Linotype" w:eastAsia="Times New Roman" w:hAnsi="Palatino Linotype" w:cs="Times New Roman"/>
          <w:sz w:val="20"/>
          <w:szCs w:val="20"/>
          <w:lang w:val="en-US"/>
        </w:rPr>
        <w:t>Geopolymers, Metakaolin</w:t>
      </w:r>
      <w:r>
        <w:rPr>
          <w:rFonts w:ascii="Palatino Linotype" w:eastAsia="Times New Roman" w:hAnsi="Palatino Linotype" w:cs="Times New Roman"/>
          <w:sz w:val="20"/>
          <w:szCs w:val="20"/>
          <w:lang w:val="en-US"/>
        </w:rPr>
        <w:t>,</w:t>
      </w:r>
      <w:r w:rsidRPr="00796179"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 Reusing Mine by-product, Untreated Phosphate washing sludge, </w:t>
      </w:r>
      <w:r w:rsidRPr="006763D5">
        <w:rPr>
          <w:rFonts w:ascii="Palatino Linotype" w:eastAsia="Times New Roman" w:hAnsi="Palatino Linotype" w:cs="Times New Roman"/>
          <w:sz w:val="20"/>
          <w:szCs w:val="20"/>
          <w:lang w:val="en-CA"/>
        </w:rPr>
        <w:t>carbon footprint</w:t>
      </w:r>
      <w:r w:rsidRPr="00796179">
        <w:rPr>
          <w:rFonts w:ascii="Palatino Linotype" w:eastAsia="Times New Roman" w:hAnsi="Palatino Linotype" w:cs="Times New Roman"/>
          <w:sz w:val="20"/>
          <w:szCs w:val="20"/>
          <w:lang w:val="en-US"/>
        </w:rPr>
        <w:t xml:space="preserve">, </w:t>
      </w:r>
      <w:bookmarkStart w:id="0" w:name="_GoBack"/>
      <w:bookmarkEnd w:id="0"/>
    </w:p>
    <w:sectPr w:rsidR="00A521BD" w:rsidRPr="008A7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8608a8d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arisSIL">
    <w:altName w:val="Malgun Gothic"/>
    <w:panose1 w:val="00000000000000000000"/>
    <w:charset w:val="81"/>
    <w:family w:val="swiss"/>
    <w:notTrueType/>
    <w:pitch w:val="default"/>
    <w:sig w:usb0="00000001" w:usb1="09070000" w:usb2="00000010" w:usb3="00000000" w:csb0="000A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8E"/>
    <w:rsid w:val="00041C4D"/>
    <w:rsid w:val="00754AA6"/>
    <w:rsid w:val="008A758E"/>
    <w:rsid w:val="00A5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DE7CC-15C1-49BD-81CB-63095671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58E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aicha fathi</dc:creator>
  <cp:keywords/>
  <dc:description/>
  <cp:lastModifiedBy>aicha fathi</cp:lastModifiedBy>
  <cp:revision>1</cp:revision>
  <dcterms:created xsi:type="dcterms:W3CDTF">2019-12-11T09:58:00Z</dcterms:created>
  <dcterms:modified xsi:type="dcterms:W3CDTF">2019-12-11T09:58:00Z</dcterms:modified>
</cp:coreProperties>
</file>