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A74F7" w14:textId="12236CDA" w:rsidR="00AA63A1" w:rsidRDefault="00163238" w:rsidP="00AA63A1">
      <w:pPr>
        <w:pStyle w:val="Heading1"/>
        <w:spacing w:before="170"/>
        <w:ind w:left="0"/>
      </w:pPr>
      <w:r>
        <w:t>Growth H</w:t>
      </w:r>
      <w:r w:rsidR="00AA63A1">
        <w:t xml:space="preserve">ormone: </w:t>
      </w:r>
    </w:p>
    <w:p w14:paraId="3795F9C7" w14:textId="6BC28A53" w:rsidR="00AE3E37" w:rsidRDefault="00163238" w:rsidP="00AA63A1">
      <w:pPr>
        <w:pStyle w:val="Heading1"/>
        <w:spacing w:before="170"/>
        <w:ind w:left="0"/>
      </w:pPr>
      <w:r>
        <w:t>chromatographic s</w:t>
      </w:r>
      <w:r w:rsidR="001D1966">
        <w:t xml:space="preserve">eparations </w:t>
      </w:r>
      <w:r>
        <w:t>coupled with</w:t>
      </w:r>
      <w:r w:rsidR="001D1966">
        <w:t xml:space="preserve"> </w:t>
      </w:r>
      <w:r w:rsidR="00AA63A1">
        <w:t xml:space="preserve">mass spectrometry </w:t>
      </w:r>
      <w:r>
        <w:t>toward</w:t>
      </w:r>
      <w:r w:rsidR="00E50C74">
        <w:t>s</w:t>
      </w:r>
      <w:r w:rsidR="00AA63A1">
        <w:t xml:space="preserve"> a novel </w:t>
      </w:r>
      <w:r>
        <w:t>method for</w:t>
      </w:r>
      <w:r w:rsidR="00FC50A9">
        <w:t xml:space="preserve"> anti-doping tests</w:t>
      </w:r>
      <w:r w:rsidR="001D1966">
        <w:t>.</w:t>
      </w:r>
    </w:p>
    <w:p w14:paraId="29CE1625" w14:textId="62BC78A7" w:rsidR="000F3AD5" w:rsidRDefault="00AA63A1">
      <w:pPr>
        <w:pStyle w:val="BodyText"/>
        <w:rPr>
          <w:rFonts w:ascii="Arial"/>
          <w:lang w:val="fr-FR"/>
        </w:rPr>
      </w:pPr>
      <w:r w:rsidRPr="00AA63A1">
        <w:rPr>
          <w:rFonts w:ascii="Arial"/>
          <w:lang w:val="fr-FR"/>
        </w:rPr>
        <w:t>Hala Dadi</w:t>
      </w:r>
      <w:r w:rsidR="000F3AD5" w:rsidRPr="000F3AD5">
        <w:rPr>
          <w:rFonts w:ascii="Arial"/>
          <w:vertAlign w:val="superscript"/>
          <w:lang w:val="fr-FR"/>
        </w:rPr>
        <w:t>1</w:t>
      </w:r>
      <w:r w:rsidRPr="00AA63A1">
        <w:rPr>
          <w:rFonts w:ascii="Arial"/>
          <w:lang w:val="fr-FR"/>
        </w:rPr>
        <w:t>,</w:t>
      </w:r>
      <w:r w:rsidR="006D0940">
        <w:rPr>
          <w:rFonts w:ascii="Arial"/>
          <w:lang w:val="fr-FR"/>
        </w:rPr>
        <w:t xml:space="preserve"> Alexandre Marchand</w:t>
      </w:r>
      <w:r w:rsidR="006D0940" w:rsidRPr="006D0940">
        <w:rPr>
          <w:rFonts w:ascii="Arial"/>
          <w:vertAlign w:val="superscript"/>
          <w:lang w:val="fr-FR"/>
        </w:rPr>
        <w:t>3</w:t>
      </w:r>
      <w:r w:rsidR="006D0940">
        <w:rPr>
          <w:rFonts w:ascii="Arial"/>
          <w:lang w:val="fr-FR"/>
        </w:rPr>
        <w:t>, Fr</w:t>
      </w:r>
      <w:r w:rsidR="006D0940">
        <w:rPr>
          <w:rFonts w:ascii="Arial"/>
          <w:lang w:val="fr-FR"/>
        </w:rPr>
        <w:t>é</w:t>
      </w:r>
      <w:r w:rsidR="006D0940">
        <w:rPr>
          <w:rFonts w:ascii="Arial"/>
          <w:lang w:val="fr-FR"/>
        </w:rPr>
        <w:t>d</w:t>
      </w:r>
      <w:r w:rsidR="006D0940">
        <w:rPr>
          <w:rFonts w:ascii="Arial"/>
          <w:lang w:val="fr-FR"/>
        </w:rPr>
        <w:t>é</w:t>
      </w:r>
      <w:r w:rsidR="006D0940">
        <w:rPr>
          <w:rFonts w:ascii="Arial"/>
          <w:lang w:val="fr-FR"/>
        </w:rPr>
        <w:t>ric Halgand</w:t>
      </w:r>
      <w:r w:rsidR="006D0940" w:rsidRPr="006D0940">
        <w:rPr>
          <w:rFonts w:ascii="Arial"/>
          <w:vertAlign w:val="superscript"/>
          <w:lang w:val="fr-FR"/>
        </w:rPr>
        <w:t>1</w:t>
      </w:r>
      <w:r w:rsidR="006D0940">
        <w:rPr>
          <w:rFonts w:ascii="Arial"/>
          <w:lang w:val="fr-FR"/>
        </w:rPr>
        <w:t>, Claire Sma</w:t>
      </w:r>
      <w:r w:rsidRPr="00AA63A1">
        <w:rPr>
          <w:rFonts w:ascii="Arial"/>
          <w:lang w:val="fr-FR"/>
        </w:rPr>
        <w:t>d</w:t>
      </w:r>
      <w:r w:rsidR="006D0940">
        <w:rPr>
          <w:rFonts w:ascii="Arial"/>
          <w:lang w:val="fr-FR"/>
        </w:rPr>
        <w:t>j</w:t>
      </w:r>
      <w:r w:rsidRPr="00AA63A1">
        <w:rPr>
          <w:rFonts w:ascii="Arial"/>
          <w:lang w:val="fr-FR"/>
        </w:rPr>
        <w:t>a</w:t>
      </w:r>
      <w:r w:rsidR="000F3AD5" w:rsidRPr="000F3AD5">
        <w:rPr>
          <w:rFonts w:ascii="Arial"/>
          <w:vertAlign w:val="superscript"/>
          <w:lang w:val="fr-FR"/>
        </w:rPr>
        <w:t>2</w:t>
      </w:r>
      <w:r w:rsidRPr="00AA63A1">
        <w:rPr>
          <w:rFonts w:ascii="Arial"/>
          <w:lang w:val="fr-FR"/>
        </w:rPr>
        <w:t>, Antoine Pallandre</w:t>
      </w:r>
      <w:r w:rsidR="000F3AD5" w:rsidRPr="000F3AD5">
        <w:rPr>
          <w:rFonts w:ascii="Arial"/>
          <w:vertAlign w:val="superscript"/>
          <w:lang w:val="fr-FR"/>
        </w:rPr>
        <w:t>1</w:t>
      </w:r>
    </w:p>
    <w:p w14:paraId="0B91830F" w14:textId="77777777" w:rsidR="00361DF6" w:rsidRDefault="00361DF6">
      <w:pPr>
        <w:pStyle w:val="BodyText"/>
        <w:rPr>
          <w:rFonts w:ascii="Arial"/>
          <w:lang w:val="fr-FR"/>
        </w:rPr>
      </w:pPr>
    </w:p>
    <w:p w14:paraId="550C9A19" w14:textId="34A2F845" w:rsidR="00965FE2" w:rsidRDefault="00361DF6">
      <w:pPr>
        <w:pStyle w:val="BodyText"/>
        <w:rPr>
          <w:rFonts w:ascii="Arial"/>
          <w:lang w:val="fr-FR"/>
        </w:rPr>
      </w:pPr>
      <w:r w:rsidRPr="006D0940">
        <w:rPr>
          <w:rFonts w:ascii="Arial"/>
          <w:vertAlign w:val="superscript"/>
          <w:lang w:val="fr-FR"/>
        </w:rPr>
        <w:t>1</w:t>
      </w:r>
      <w:r w:rsidRPr="006D0940">
        <w:rPr>
          <w:vertAlign w:val="superscript"/>
          <w:lang w:val="fr-FR"/>
        </w:rPr>
        <w:t xml:space="preserve"> </w:t>
      </w:r>
      <w:r w:rsidRPr="00361DF6">
        <w:rPr>
          <w:lang w:val="fr-FR"/>
        </w:rPr>
        <w:t>Laboratoire de Chimie Physique,</w:t>
      </w:r>
      <w:r>
        <w:rPr>
          <w:lang w:val="fr-FR"/>
        </w:rPr>
        <w:t xml:space="preserve"> </w:t>
      </w:r>
      <w:r w:rsidR="00E50C74">
        <w:rPr>
          <w:rStyle w:val="affiliationname"/>
          <w:lang w:val="fr-FR"/>
        </w:rPr>
        <w:t>Université Paris-</w:t>
      </w:r>
      <w:r w:rsidR="00965FE2" w:rsidRPr="00965FE2">
        <w:rPr>
          <w:rStyle w:val="affiliationname"/>
          <w:lang w:val="fr-FR"/>
        </w:rPr>
        <w:t>Sud-CNRS, UMR 8000, Rue Henri Becquerel</w:t>
      </w:r>
      <w:r>
        <w:rPr>
          <w:rStyle w:val="affiliationname"/>
          <w:lang w:val="fr-FR"/>
        </w:rPr>
        <w:t xml:space="preserve">, </w:t>
      </w:r>
      <w:r w:rsidRPr="00361DF6">
        <w:rPr>
          <w:lang w:val="fr-FR"/>
        </w:rPr>
        <w:t xml:space="preserve">91405, </w:t>
      </w:r>
      <w:r w:rsidR="00965FE2" w:rsidRPr="00965FE2">
        <w:rPr>
          <w:rStyle w:val="affiliationcity"/>
          <w:lang w:val="fr-FR"/>
        </w:rPr>
        <w:t>Orsay</w:t>
      </w:r>
      <w:r>
        <w:rPr>
          <w:rStyle w:val="affiliationcity"/>
          <w:lang w:val="fr-FR"/>
        </w:rPr>
        <w:t xml:space="preserve">, </w:t>
      </w:r>
      <w:r w:rsidR="00965FE2" w:rsidRPr="00965FE2">
        <w:rPr>
          <w:rStyle w:val="affiliationcountry"/>
          <w:lang w:val="fr-FR"/>
        </w:rPr>
        <w:t>France</w:t>
      </w:r>
      <w:r w:rsidR="009F0615">
        <w:rPr>
          <w:rFonts w:ascii="Arial"/>
          <w:lang w:val="fr-FR"/>
        </w:rPr>
        <w:t>,</w:t>
      </w:r>
      <w:r w:rsidR="00965FE2">
        <w:rPr>
          <w:rFonts w:ascii="Arial"/>
          <w:lang w:val="fr-FR"/>
        </w:rPr>
        <w:t xml:space="preserve"> </w:t>
      </w:r>
    </w:p>
    <w:p w14:paraId="3F7C39FA" w14:textId="3DF3010E" w:rsidR="00361DF6" w:rsidRDefault="00361DF6">
      <w:pPr>
        <w:pStyle w:val="BodyText"/>
        <w:rPr>
          <w:lang w:val="fr-FR"/>
        </w:rPr>
      </w:pPr>
    </w:p>
    <w:p w14:paraId="6518A678" w14:textId="354DD0DB" w:rsidR="00965FE2" w:rsidRPr="00361DF6" w:rsidRDefault="00361DF6">
      <w:pPr>
        <w:pStyle w:val="BodyText"/>
        <w:rPr>
          <w:rFonts w:ascii="Arial"/>
          <w:lang w:val="fr-FR"/>
        </w:rPr>
      </w:pPr>
      <w:r w:rsidRPr="006D0940">
        <w:rPr>
          <w:vertAlign w:val="superscript"/>
          <w:lang w:val="fr-FR"/>
        </w:rPr>
        <w:t>2</w:t>
      </w:r>
      <w:r w:rsidR="006D0940">
        <w:rPr>
          <w:lang w:val="fr-FR"/>
        </w:rPr>
        <w:t xml:space="preserve"> </w:t>
      </w:r>
      <w:r w:rsidRPr="00361DF6">
        <w:rPr>
          <w:lang w:val="fr-FR"/>
        </w:rPr>
        <w:t>Institut Galien Paris-Sud, UMR CNRS 8612, Proteins and Nanotechnology in Analytical Science (PNAS), CNRS, Univ. Paris-Sud, Université Paris-Saclay, 5 rue Jean Baptiste Clément, 92290 Châtenay-Malabry, France</w:t>
      </w:r>
    </w:p>
    <w:p w14:paraId="68C1DE26" w14:textId="77777777" w:rsidR="006D0940" w:rsidRDefault="006D0940" w:rsidP="00572AAE">
      <w:pPr>
        <w:pStyle w:val="BodyText"/>
        <w:rPr>
          <w:lang w:val="fr-FR"/>
        </w:rPr>
      </w:pPr>
    </w:p>
    <w:p w14:paraId="7CB14CD8" w14:textId="651609EC" w:rsidR="006D0940" w:rsidRPr="00C54938" w:rsidRDefault="006D0940" w:rsidP="00572AAE">
      <w:pPr>
        <w:pStyle w:val="BodyText"/>
        <w:rPr>
          <w:rFonts w:ascii="Arial"/>
        </w:rPr>
        <w:sectPr w:rsidR="006D0940" w:rsidRPr="00C54938">
          <w:headerReference w:type="default" r:id="rId8"/>
          <w:footerReference w:type="default" r:id="rId9"/>
          <w:type w:val="continuous"/>
          <w:pgSz w:w="11910" w:h="16840"/>
          <w:pgMar w:top="1740" w:right="600" w:bottom="840" w:left="620" w:header="541" w:footer="642" w:gutter="0"/>
          <w:cols w:space="720"/>
        </w:sectPr>
      </w:pPr>
      <w:r w:rsidRPr="00C54938">
        <w:rPr>
          <w:vertAlign w:val="superscript"/>
        </w:rPr>
        <w:t>3</w:t>
      </w:r>
      <w:r w:rsidRPr="00C54938">
        <w:t xml:space="preserve"> </w:t>
      </w:r>
      <w:r w:rsidR="00E50C74" w:rsidRPr="00C54938">
        <w:rPr>
          <w:rStyle w:val="highlight"/>
        </w:rPr>
        <w:t>AFLD</w:t>
      </w:r>
      <w:r w:rsidR="00E50C74" w:rsidRPr="00C54938">
        <w:t xml:space="preserve"> (Anti Doping French Agency), Département des Analyses</w:t>
      </w:r>
      <w:r w:rsidRPr="00C54938">
        <w:t>, Ch</w:t>
      </w:r>
      <w:r w:rsidR="00E50C74" w:rsidRPr="00C54938">
        <w:t>â</w:t>
      </w:r>
      <w:r w:rsidRPr="00C54938">
        <w:t>tenay-Malabry, France</w:t>
      </w:r>
    </w:p>
    <w:p w14:paraId="5655D684" w14:textId="4FEBCE45" w:rsidR="00AE3E37" w:rsidRPr="00C54938" w:rsidRDefault="00A9710C">
      <w:pPr>
        <w:pStyle w:val="Heading3"/>
        <w:spacing w:before="147"/>
        <w:jc w:val="both"/>
      </w:pPr>
      <w:r w:rsidRPr="00C54938">
        <w:rPr>
          <w:color w:val="BF5A14"/>
        </w:rPr>
        <w:lastRenderedPageBreak/>
        <w:t>Abstract</w:t>
      </w:r>
      <w:r w:rsidR="00404E5B" w:rsidRPr="00C54938">
        <w:rPr>
          <w:color w:val="BF5A14"/>
        </w:rPr>
        <w:t xml:space="preserve"> </w:t>
      </w:r>
    </w:p>
    <w:p w14:paraId="361372E6" w14:textId="7529B968" w:rsidR="00AE3E37" w:rsidRPr="00A4184B" w:rsidRDefault="00A9710C" w:rsidP="008C1B66">
      <w:pPr>
        <w:pStyle w:val="TextBody"/>
        <w:rPr>
          <w:rFonts w:ascii="Tw Cen MT" w:eastAsia="Tw Cen MT" w:hAnsi="Tw Cen MT" w:cs="Tw Cen MT"/>
          <w:sz w:val="18"/>
          <w:szCs w:val="18"/>
          <w:lang w:eastAsia="en-US" w:bidi="ar-SA"/>
        </w:rPr>
      </w:pPr>
      <w:r w:rsidRPr="008C1B66">
        <w:rPr>
          <w:rFonts w:ascii="Tw Cen MT" w:eastAsia="Tw Cen MT" w:hAnsi="Tw Cen MT" w:cs="Tw Cen MT"/>
          <w:sz w:val="18"/>
          <w:szCs w:val="18"/>
          <w:lang w:eastAsia="en-US" w:bidi="ar-SA"/>
        </w:rPr>
        <w:t xml:space="preserve">Statement of the Problem: </w:t>
      </w:r>
      <w:r w:rsidR="00AA63A1" w:rsidRPr="008C1B66">
        <w:rPr>
          <w:rFonts w:ascii="Tw Cen MT" w:eastAsia="Tw Cen MT" w:hAnsi="Tw Cen MT" w:cs="Tw Cen MT"/>
          <w:sz w:val="18"/>
          <w:szCs w:val="18"/>
          <w:lang w:eastAsia="en-US" w:bidi="ar-SA"/>
        </w:rPr>
        <w:t>The recombinant human growth hormone (rhGH) is now widely manufac</w:t>
      </w:r>
      <w:r w:rsidR="00CA6F1E">
        <w:rPr>
          <w:rFonts w:ascii="Tw Cen MT" w:eastAsia="Tw Cen MT" w:hAnsi="Tw Cen MT" w:cs="Tw Cen MT"/>
          <w:sz w:val="18"/>
          <w:szCs w:val="18"/>
          <w:lang w:eastAsia="en-US" w:bidi="ar-SA"/>
        </w:rPr>
        <w:t>tured</w:t>
      </w:r>
      <w:r w:rsidR="00163238">
        <w:rPr>
          <w:rFonts w:ascii="Tw Cen MT" w:eastAsia="Tw Cen MT" w:hAnsi="Tw Cen MT" w:cs="Tw Cen MT"/>
          <w:sz w:val="18"/>
          <w:szCs w:val="18"/>
          <w:lang w:eastAsia="en-US" w:bidi="ar-SA"/>
        </w:rPr>
        <w:t xml:space="preserve"> by biotech companies</w:t>
      </w:r>
      <w:r w:rsidR="00CA6F1E">
        <w:rPr>
          <w:rFonts w:ascii="Tw Cen MT" w:eastAsia="Tw Cen MT" w:hAnsi="Tw Cen MT" w:cs="Tw Cen MT"/>
          <w:sz w:val="18"/>
          <w:szCs w:val="18"/>
          <w:lang w:eastAsia="en-US" w:bidi="ar-SA"/>
        </w:rPr>
        <w:t xml:space="preserve">. The rhGH is used </w:t>
      </w:r>
      <w:r w:rsidR="00A50FDC">
        <w:rPr>
          <w:rFonts w:ascii="Tw Cen MT" w:eastAsia="Tw Cen MT" w:hAnsi="Tw Cen MT" w:cs="Tw Cen MT"/>
          <w:sz w:val="18"/>
          <w:szCs w:val="18"/>
          <w:lang w:eastAsia="en-US" w:bidi="ar-SA"/>
        </w:rPr>
        <w:t xml:space="preserve">to treat </w:t>
      </w:r>
      <w:r w:rsidR="00CA6F1E">
        <w:rPr>
          <w:rFonts w:ascii="Tw Cen MT" w:eastAsia="Tw Cen MT" w:hAnsi="Tw Cen MT" w:cs="Tw Cen MT"/>
          <w:sz w:val="18"/>
          <w:szCs w:val="18"/>
          <w:lang w:eastAsia="en-US" w:bidi="ar-SA"/>
        </w:rPr>
        <w:t>growth hormone deficiency</w:t>
      </w:r>
      <w:r w:rsidR="00AA63A1" w:rsidRPr="008C1B66">
        <w:rPr>
          <w:rFonts w:ascii="Tw Cen MT" w:eastAsia="Tw Cen MT" w:hAnsi="Tw Cen MT" w:cs="Tw Cen MT"/>
          <w:sz w:val="18"/>
          <w:szCs w:val="18"/>
          <w:lang w:eastAsia="en-US" w:bidi="ar-SA"/>
        </w:rPr>
        <w:t xml:space="preserve"> diseases. </w:t>
      </w:r>
      <w:r w:rsidR="00A50FDC">
        <w:rPr>
          <w:rFonts w:ascii="Tw Cen MT" w:eastAsia="Tw Cen MT" w:hAnsi="Tw Cen MT" w:cs="Tw Cen MT"/>
          <w:sz w:val="18"/>
          <w:szCs w:val="18"/>
          <w:lang w:eastAsia="en-US" w:bidi="ar-SA"/>
        </w:rPr>
        <w:t>On the other side</w:t>
      </w:r>
      <w:r w:rsidR="00AA63A1" w:rsidRPr="008C1B66">
        <w:rPr>
          <w:rFonts w:ascii="Tw Cen MT" w:eastAsia="Tw Cen MT" w:hAnsi="Tw Cen MT" w:cs="Tw Cen MT"/>
          <w:sz w:val="18"/>
          <w:szCs w:val="18"/>
          <w:lang w:eastAsia="en-US" w:bidi="ar-SA"/>
        </w:rPr>
        <w:t xml:space="preserve">, </w:t>
      </w:r>
      <w:r w:rsidR="00CA6F1E">
        <w:rPr>
          <w:rFonts w:ascii="Tw Cen MT" w:eastAsia="Tw Cen MT" w:hAnsi="Tw Cen MT" w:cs="Tw Cen MT"/>
          <w:sz w:val="18"/>
          <w:szCs w:val="18"/>
          <w:lang w:eastAsia="en-US" w:bidi="ar-SA"/>
        </w:rPr>
        <w:t xml:space="preserve">the </w:t>
      </w:r>
      <w:r w:rsidR="00AA63A1" w:rsidRPr="008C1B66">
        <w:rPr>
          <w:rFonts w:ascii="Tw Cen MT" w:eastAsia="Tw Cen MT" w:hAnsi="Tw Cen MT" w:cs="Tw Cen MT"/>
          <w:sz w:val="18"/>
          <w:szCs w:val="18"/>
          <w:lang w:eastAsia="en-US" w:bidi="ar-SA"/>
        </w:rPr>
        <w:t xml:space="preserve">availability of rhGH in the black-market </w:t>
      </w:r>
      <w:r w:rsidR="00E50C74">
        <w:rPr>
          <w:rFonts w:ascii="Tw Cen MT" w:eastAsia="Tw Cen MT" w:hAnsi="Tw Cen MT" w:cs="Tw Cen MT"/>
          <w:sz w:val="18"/>
          <w:szCs w:val="18"/>
          <w:lang w:eastAsia="en-US" w:bidi="ar-SA"/>
        </w:rPr>
        <w:t xml:space="preserve">has continuously </w:t>
      </w:r>
      <w:r w:rsidR="00AA63A1" w:rsidRPr="008C1B66">
        <w:rPr>
          <w:rFonts w:ascii="Tw Cen MT" w:eastAsia="Tw Cen MT" w:hAnsi="Tw Cen MT" w:cs="Tw Cen MT"/>
          <w:sz w:val="18"/>
          <w:szCs w:val="18"/>
          <w:lang w:eastAsia="en-US" w:bidi="ar-SA"/>
        </w:rPr>
        <w:t xml:space="preserve">increased </w:t>
      </w:r>
      <w:r w:rsidR="00E50C74">
        <w:rPr>
          <w:rFonts w:ascii="Tw Cen MT" w:eastAsia="Tw Cen MT" w:hAnsi="Tw Cen MT" w:cs="Tw Cen MT"/>
          <w:sz w:val="18"/>
          <w:szCs w:val="18"/>
          <w:lang w:eastAsia="en-US" w:bidi="ar-SA"/>
        </w:rPr>
        <w:t>because of</w:t>
      </w:r>
      <w:r w:rsidR="00DB03A9">
        <w:rPr>
          <w:rFonts w:ascii="Tw Cen MT" w:eastAsia="Tw Cen MT" w:hAnsi="Tw Cen MT" w:cs="Tw Cen MT"/>
          <w:sz w:val="18"/>
          <w:szCs w:val="18"/>
          <w:lang w:eastAsia="en-US" w:bidi="ar-SA"/>
        </w:rPr>
        <w:t xml:space="preserve"> doping in sports. To date</w:t>
      </w:r>
      <w:r w:rsidR="0001317C">
        <w:rPr>
          <w:rFonts w:ascii="Tw Cen MT" w:eastAsia="Tw Cen MT" w:hAnsi="Tw Cen MT" w:cs="Tw Cen MT"/>
          <w:sz w:val="18"/>
          <w:szCs w:val="18"/>
          <w:lang w:eastAsia="en-US" w:bidi="ar-SA"/>
        </w:rPr>
        <w:t>, the detection of</w:t>
      </w:r>
      <w:r w:rsidR="00DB03A9">
        <w:rPr>
          <w:rFonts w:ascii="Tw Cen MT" w:eastAsia="Tw Cen MT" w:hAnsi="Tw Cen MT" w:cs="Tw Cen MT"/>
          <w:sz w:val="18"/>
          <w:szCs w:val="18"/>
          <w:lang w:eastAsia="en-US" w:bidi="ar-SA"/>
        </w:rPr>
        <w:t xml:space="preserve"> GH </w:t>
      </w:r>
      <w:r w:rsidR="00E50C74">
        <w:rPr>
          <w:rFonts w:ascii="Tw Cen MT" w:eastAsia="Tw Cen MT" w:hAnsi="Tw Cen MT" w:cs="Tw Cen MT"/>
          <w:sz w:val="18"/>
          <w:szCs w:val="18"/>
          <w:lang w:eastAsia="en-US" w:bidi="ar-SA"/>
        </w:rPr>
        <w:t>doping is</w:t>
      </w:r>
      <w:r w:rsidR="00DB03A9">
        <w:rPr>
          <w:rFonts w:ascii="Tw Cen MT" w:eastAsia="Tw Cen MT" w:hAnsi="Tw Cen MT" w:cs="Tw Cen MT"/>
          <w:sz w:val="18"/>
          <w:szCs w:val="18"/>
          <w:lang w:eastAsia="en-US" w:bidi="ar-SA"/>
        </w:rPr>
        <w:t xml:space="preserve"> still very challenging. In fact,</w:t>
      </w:r>
      <w:r w:rsidR="00AA63A1" w:rsidRPr="008C1B66">
        <w:rPr>
          <w:rFonts w:ascii="Tw Cen MT" w:eastAsia="Tw Cen MT" w:hAnsi="Tw Cen MT" w:cs="Tw Cen MT"/>
          <w:sz w:val="18"/>
          <w:szCs w:val="18"/>
          <w:lang w:eastAsia="en-US" w:bidi="ar-SA"/>
        </w:rPr>
        <w:t xml:space="preserve"> the natural and the biosynthetic </w:t>
      </w:r>
      <w:r w:rsidR="00A4184B">
        <w:rPr>
          <w:rFonts w:ascii="Tw Cen MT" w:eastAsia="Tw Cen MT" w:hAnsi="Tw Cen MT" w:cs="Tw Cen MT"/>
          <w:sz w:val="18"/>
          <w:szCs w:val="18"/>
          <w:lang w:eastAsia="en-US" w:bidi="ar-SA"/>
        </w:rPr>
        <w:t>hGH</w:t>
      </w:r>
      <w:r w:rsidR="00DB03A9">
        <w:rPr>
          <w:rFonts w:ascii="Tw Cen MT" w:eastAsia="Tw Cen MT" w:hAnsi="Tw Cen MT" w:cs="Tw Cen MT"/>
          <w:sz w:val="18"/>
          <w:szCs w:val="18"/>
          <w:lang w:eastAsia="en-US" w:bidi="ar-SA"/>
        </w:rPr>
        <w:t xml:space="preserve"> have identical</w:t>
      </w:r>
      <w:r w:rsidR="00AA63A1" w:rsidRPr="008C1B66">
        <w:rPr>
          <w:rFonts w:ascii="Tw Cen MT" w:eastAsia="Tw Cen MT" w:hAnsi="Tw Cen MT" w:cs="Tw Cen MT"/>
          <w:sz w:val="18"/>
          <w:szCs w:val="18"/>
          <w:lang w:eastAsia="en-US" w:bidi="ar-SA"/>
        </w:rPr>
        <w:t xml:space="preserve"> peptidic sequence</w:t>
      </w:r>
      <w:r w:rsidR="00DB03A9">
        <w:rPr>
          <w:rFonts w:ascii="Tw Cen MT" w:eastAsia="Tw Cen MT" w:hAnsi="Tw Cen MT" w:cs="Tw Cen MT"/>
          <w:sz w:val="18"/>
          <w:szCs w:val="18"/>
          <w:lang w:eastAsia="en-US" w:bidi="ar-SA"/>
        </w:rPr>
        <w:t>s</w:t>
      </w:r>
      <w:r w:rsidR="00AA63A1" w:rsidRPr="008C1B66">
        <w:rPr>
          <w:rFonts w:ascii="Tw Cen MT" w:eastAsia="Tw Cen MT" w:hAnsi="Tw Cen MT" w:cs="Tw Cen MT"/>
          <w:sz w:val="18"/>
          <w:szCs w:val="18"/>
          <w:lang w:eastAsia="en-US" w:bidi="ar-SA"/>
        </w:rPr>
        <w:t xml:space="preserve">. </w:t>
      </w:r>
      <w:r w:rsidR="00DB03A9">
        <w:rPr>
          <w:rFonts w:ascii="Tw Cen MT" w:eastAsia="Tw Cen MT" w:hAnsi="Tw Cen MT" w:cs="Tw Cen MT"/>
          <w:sz w:val="18"/>
          <w:szCs w:val="18"/>
          <w:lang w:eastAsia="en-US" w:bidi="ar-SA"/>
        </w:rPr>
        <w:t>So far, t</w:t>
      </w:r>
      <w:r w:rsidR="00AA63A1" w:rsidRPr="008C1B66">
        <w:rPr>
          <w:rFonts w:ascii="Tw Cen MT" w:eastAsia="Tw Cen MT" w:hAnsi="Tw Cen MT" w:cs="Tw Cen MT"/>
          <w:sz w:val="18"/>
          <w:szCs w:val="18"/>
          <w:lang w:eastAsia="en-US" w:bidi="ar-SA"/>
        </w:rPr>
        <w:t>he</w:t>
      </w:r>
      <w:r w:rsidR="00DB03A9">
        <w:rPr>
          <w:rFonts w:ascii="Tw Cen MT" w:eastAsia="Tw Cen MT" w:hAnsi="Tw Cen MT" w:cs="Tw Cen MT"/>
          <w:sz w:val="18"/>
          <w:szCs w:val="18"/>
          <w:lang w:eastAsia="en-US" w:bidi="ar-SA"/>
        </w:rPr>
        <w:t xml:space="preserve"> valid</w:t>
      </w:r>
      <w:r w:rsidR="00AA63A1" w:rsidRPr="008C1B66">
        <w:rPr>
          <w:rFonts w:ascii="Tw Cen MT" w:eastAsia="Tw Cen MT" w:hAnsi="Tw Cen MT" w:cs="Tw Cen MT"/>
          <w:sz w:val="18"/>
          <w:szCs w:val="18"/>
          <w:lang w:eastAsia="en-US" w:bidi="ar-SA"/>
        </w:rPr>
        <w:t xml:space="preserve"> human growth hormone</w:t>
      </w:r>
      <w:r w:rsidR="00DB03A9">
        <w:rPr>
          <w:rFonts w:ascii="Tw Cen MT" w:eastAsia="Tw Cen MT" w:hAnsi="Tw Cen MT" w:cs="Tw Cen MT"/>
          <w:sz w:val="18"/>
          <w:szCs w:val="18"/>
          <w:lang w:eastAsia="en-US" w:bidi="ar-SA"/>
        </w:rPr>
        <w:t xml:space="preserve"> anti-doping tests </w:t>
      </w:r>
      <w:r w:rsidR="00AA63A1" w:rsidRPr="008C1B66">
        <w:rPr>
          <w:rFonts w:ascii="Tw Cen MT" w:eastAsia="Tw Cen MT" w:hAnsi="Tw Cen MT" w:cs="Tw Cen MT"/>
          <w:sz w:val="18"/>
          <w:szCs w:val="18"/>
          <w:lang w:eastAsia="en-US" w:bidi="ar-SA"/>
        </w:rPr>
        <w:t xml:space="preserve">are based </w:t>
      </w:r>
      <w:r w:rsidR="00CA6F1E">
        <w:rPr>
          <w:rFonts w:ascii="Tw Cen MT" w:eastAsia="Tw Cen MT" w:hAnsi="Tw Cen MT" w:cs="Tw Cen MT"/>
          <w:sz w:val="18"/>
          <w:szCs w:val="18"/>
          <w:lang w:eastAsia="en-US" w:bidi="ar-SA"/>
        </w:rPr>
        <w:t>on immunological</w:t>
      </w:r>
      <w:r w:rsidR="00AA63A1" w:rsidRPr="008C1B66">
        <w:rPr>
          <w:rFonts w:ascii="Tw Cen MT" w:eastAsia="Tw Cen MT" w:hAnsi="Tw Cen MT" w:cs="Tw Cen MT"/>
          <w:sz w:val="18"/>
          <w:szCs w:val="18"/>
          <w:lang w:eastAsia="en-US" w:bidi="ar-SA"/>
        </w:rPr>
        <w:t xml:space="preserve"> recognition</w:t>
      </w:r>
      <w:r w:rsidR="003D734A">
        <w:rPr>
          <w:rFonts w:ascii="Tw Cen MT" w:eastAsia="Tw Cen MT" w:hAnsi="Tw Cen MT" w:cs="Tw Cen MT"/>
          <w:sz w:val="18"/>
          <w:szCs w:val="18"/>
          <w:lang w:eastAsia="en-US" w:bidi="ar-SA"/>
        </w:rPr>
        <w:fldChar w:fldCharType="begin" w:fldLock="1"/>
      </w:r>
      <w:r w:rsidR="003D734A">
        <w:rPr>
          <w:rFonts w:ascii="Tw Cen MT" w:eastAsia="Tw Cen MT" w:hAnsi="Tw Cen MT" w:cs="Tw Cen MT"/>
          <w:sz w:val="18"/>
          <w:szCs w:val="18"/>
          <w:lang w:eastAsia="en-US" w:bidi="ar-SA"/>
        </w:rPr>
        <w:instrText>ADDIN CSL_CITATION { "citationItems" : [ { "id" : "ITEM-1", "itemData" : { "DOI" : "10.1373/clinchem.2008.112458", "ISBN" : "4989516044", "author" : [ { "dropping-particle" : "", "family" : "Bidlingmaier", "given" : "Martin", "non-dropping-particle" : "", "parse-names" : false, "suffix" : "" }, { "dropping-particle" : "", "family" : "Suhr", "given" : "Jennifer", "non-dropping-particle" : "", "parse-names" : false, "suffix" : "" }, { "dropping-particle" : "", "family" : "Ernst", "given" : "Andrea", "non-dropping-particle" : "", "parse-names" : false, "suffix" : "" }, { "dropping-particle" : "", "family" : "Wu", "given" : "Zida", "non-dropping-particle" : "", "parse-names" : false, "suffix" : "" }, { "dropping-particle" : "", "family" : "Keller", "given" : "Alexandra", "non-dropping-particle" : "", "parse-names" : false, "suffix" : "" }, { "dropping-particle" : "", "family" : "Strasburger", "given" : "Christian J", "non-dropping-particle" : "", "parse-names" : false, "suffix" : "" }, { "dropping-particle" : "", "family" : "Bergmann", "given" : "Andreas", "non-dropping-particle" : "", "parse-names" : false, "suffix" : "" } ], "id" : "ITEM-1", "issued" : { "date-parts" : [ [ "2009" ] ] }, "page" : "445-453", "title" : "High-Sensitivity Chemiluminescence Immunoassays for Detection of Growth Hormone Doping in Sports METHODS :", "type" : "article-journal", "volume" : "453" }, "uris" : [ "http://www.mendeley.com/documents/?uuid=49fb7a4e-b339-4010-880e-9359af289cad" ] } ], "mendeley" : { "formattedCitation" : "(Bidlingmaier et al., 2009)", "plainTextFormattedCitation" : "(Bidlingmaier et al., 2009)", "previouslyFormattedCitation" : "(Bidlingmaier et al., 2009)" }, "properties" : {  }, "schema" : "https://github.com/citation-style-language/schema/raw/master/csl-citation.json" }</w:instrText>
      </w:r>
      <w:r w:rsidR="003D734A">
        <w:rPr>
          <w:rFonts w:ascii="Tw Cen MT" w:eastAsia="Tw Cen MT" w:hAnsi="Tw Cen MT" w:cs="Tw Cen MT"/>
          <w:sz w:val="18"/>
          <w:szCs w:val="18"/>
          <w:lang w:eastAsia="en-US" w:bidi="ar-SA"/>
        </w:rPr>
        <w:fldChar w:fldCharType="separate"/>
      </w:r>
      <w:r w:rsidR="003D734A" w:rsidRPr="003D734A">
        <w:rPr>
          <w:rFonts w:ascii="Tw Cen MT" w:eastAsia="Tw Cen MT" w:hAnsi="Tw Cen MT" w:cs="Tw Cen MT"/>
          <w:noProof/>
          <w:sz w:val="18"/>
          <w:szCs w:val="18"/>
          <w:lang w:eastAsia="en-US" w:bidi="ar-SA"/>
        </w:rPr>
        <w:t>(Bidlingmaier et al., 2009)</w:t>
      </w:r>
      <w:r w:rsidR="003D734A">
        <w:rPr>
          <w:rFonts w:ascii="Tw Cen MT" w:eastAsia="Tw Cen MT" w:hAnsi="Tw Cen MT" w:cs="Tw Cen MT"/>
          <w:sz w:val="18"/>
          <w:szCs w:val="18"/>
          <w:lang w:eastAsia="en-US" w:bidi="ar-SA"/>
        </w:rPr>
        <w:fldChar w:fldCharType="end"/>
      </w:r>
      <w:r w:rsidR="00CA6F1E">
        <w:rPr>
          <w:rFonts w:ascii="Tw Cen MT" w:eastAsia="Tw Cen MT" w:hAnsi="Tw Cen MT" w:cs="Tw Cen MT"/>
          <w:sz w:val="18"/>
          <w:szCs w:val="18"/>
          <w:lang w:eastAsia="en-US" w:bidi="ar-SA"/>
        </w:rPr>
        <w:t>.</w:t>
      </w:r>
      <w:r w:rsidR="00E50C74">
        <w:rPr>
          <w:rFonts w:ascii="Tw Cen MT" w:eastAsia="Tw Cen MT" w:hAnsi="Tw Cen MT" w:cs="Tw Cen MT"/>
          <w:sz w:val="18"/>
          <w:szCs w:val="18"/>
          <w:lang w:eastAsia="en-US" w:bidi="ar-SA"/>
        </w:rPr>
        <w:t xml:space="preserve"> However, Immunoassays have their own</w:t>
      </w:r>
      <w:r w:rsidR="00CA6F1E">
        <w:rPr>
          <w:rFonts w:ascii="Tw Cen MT" w:eastAsia="Tw Cen MT" w:hAnsi="Tw Cen MT" w:cs="Tw Cen MT"/>
          <w:sz w:val="18"/>
          <w:szCs w:val="18"/>
          <w:lang w:eastAsia="en-US" w:bidi="ar-SA"/>
        </w:rPr>
        <w:t xml:space="preserve"> limitations</w:t>
      </w:r>
      <w:r w:rsidR="003D734A">
        <w:rPr>
          <w:rFonts w:ascii="Tw Cen MT" w:eastAsia="Tw Cen MT" w:hAnsi="Tw Cen MT" w:cs="Tw Cen MT"/>
          <w:sz w:val="18"/>
          <w:szCs w:val="18"/>
          <w:lang w:eastAsia="en-US" w:bidi="ar-SA"/>
        </w:rPr>
        <w:fldChar w:fldCharType="begin" w:fldLock="1"/>
      </w:r>
      <w:r w:rsidR="003D734A">
        <w:rPr>
          <w:rFonts w:ascii="Tw Cen MT" w:eastAsia="Tw Cen MT" w:hAnsi="Tw Cen MT" w:cs="Tw Cen MT"/>
          <w:sz w:val="18"/>
          <w:szCs w:val="18"/>
          <w:lang w:eastAsia="en-US" w:bidi="ar-SA"/>
        </w:rPr>
        <w:instrText>ADDIN CSL_CITATION { "citationItems" : [ { "id" : "ITEM-1", "itemData" : { "DOI" : "10.1007/s11102-007-0030-1", "ISBN" : "1386-341X (Print)\\r1386-341X (Linking)", "ISSN" : "1386341X", "PMID" : "17429592", "abstract" : "Measurement of circulating growth hormone (GH) concentrations is essential in diagnosis of either GH deficiency or GH excess. The invention of immunoassays for the measurement of peptide hormones was a major breakthrough, enabling the routine analysis of GH concentrations in larger series of samples. Over the last few decades, measurement technology has evolved from less sensitive, mainly radioactive assays based on polyclonal antisera to the latest generations of highly sensitive chemiluminescence methods employing monoclonal antibodies. Unfortunately, the development of newer assays did not lead to better agreement among the results obtained by different assay methods. On the contrary, the differences tended to increase when monoclonal antibody based assays became more popular. The actual value reported for the GH concentration in a specific patient's sample still mainly depends on the method used by the respective laboratory, limiting the applicability of international consensus guidelines in clinical practice. The heterogeneity of the analyte itself, the availability of different reference preparations for calibration and the interference from matrix components such as GH binding protein are among the reasons why standardizing GH assays is difficult. An additional challenge arose from the availability of a GH receptor antagonist for the treatment of acromegaly, which is basically a mutated form of GH and therefore interferes in many GH assays. This review provides an overview on GH assays used in clinical practice, their limitations and the potential next steps towards standardization.", "author" : [ { "dropping-particle" : "", "family" : "Bidlingmaier", "given" : "Martin", "non-dropping-particle" : "", "parse-names" : false, "suffix" : "" }, { "dropping-particle" : "", "family" : "Strasburger", "given" : "Christian J.", "non-dropping-particle" : "", "parse-names" : false, "suffix" : "" } ], "container-title" : "Pituitary", "id" : "ITEM-1", "issue" : "2", "issued" : { "date-parts" : [ [ "2007" ] ] }, "page" : "115-119", "title" : "Growth hormone assays: Current methodologies and their limitations", "type" : "article-journal", "volume" : "10" }, "uris" : [ "http://www.mendeley.com/documents/?uuid=eadbc366-e114-4e57-ada9-2c4b0574b18a" ] } ], "mendeley" : { "formattedCitation" : "(Bidlingmaier &amp; Strasburger, 2007)", "plainTextFormattedCitation" : "(Bidlingmaier &amp; Strasburger, 2007)", "previouslyFormattedCitation" : "(Bidlingmaier &amp; Strasburger, 2007)" }, "properties" : {  }, "schema" : "https://github.com/citation-style-language/schema/raw/master/csl-citation.json" }</w:instrText>
      </w:r>
      <w:r w:rsidR="003D734A">
        <w:rPr>
          <w:rFonts w:ascii="Tw Cen MT" w:eastAsia="Tw Cen MT" w:hAnsi="Tw Cen MT" w:cs="Tw Cen MT"/>
          <w:sz w:val="18"/>
          <w:szCs w:val="18"/>
          <w:lang w:eastAsia="en-US" w:bidi="ar-SA"/>
        </w:rPr>
        <w:fldChar w:fldCharType="separate"/>
      </w:r>
      <w:r w:rsidR="003D734A" w:rsidRPr="003D734A">
        <w:rPr>
          <w:rFonts w:ascii="Tw Cen MT" w:eastAsia="Tw Cen MT" w:hAnsi="Tw Cen MT" w:cs="Tw Cen MT"/>
          <w:noProof/>
          <w:sz w:val="18"/>
          <w:szCs w:val="18"/>
          <w:lang w:eastAsia="en-US" w:bidi="ar-SA"/>
        </w:rPr>
        <w:t>(Bidlingmaier &amp; Strasburger, 2007)</w:t>
      </w:r>
      <w:r w:rsidR="003D734A">
        <w:rPr>
          <w:rFonts w:ascii="Tw Cen MT" w:eastAsia="Tw Cen MT" w:hAnsi="Tw Cen MT" w:cs="Tw Cen MT"/>
          <w:sz w:val="18"/>
          <w:szCs w:val="18"/>
          <w:lang w:eastAsia="en-US" w:bidi="ar-SA"/>
        </w:rPr>
        <w:fldChar w:fldCharType="end"/>
      </w:r>
      <w:r w:rsidR="00CA6F1E">
        <w:rPr>
          <w:rFonts w:ascii="Tw Cen MT" w:eastAsia="Tw Cen MT" w:hAnsi="Tw Cen MT" w:cs="Tw Cen MT"/>
          <w:sz w:val="18"/>
          <w:szCs w:val="18"/>
          <w:lang w:eastAsia="en-US" w:bidi="ar-SA"/>
        </w:rPr>
        <w:t>. T</w:t>
      </w:r>
      <w:r w:rsidR="00E50C74">
        <w:rPr>
          <w:rFonts w:ascii="Tw Cen MT" w:eastAsia="Tw Cen MT" w:hAnsi="Tw Cen MT" w:cs="Tw Cen MT"/>
          <w:sz w:val="18"/>
          <w:szCs w:val="18"/>
          <w:lang w:eastAsia="en-US" w:bidi="ar-SA"/>
        </w:rPr>
        <w:t>he human growth hormone concentration in blood</w:t>
      </w:r>
      <w:r w:rsidR="00AA63A1" w:rsidRPr="008C1B66">
        <w:rPr>
          <w:rFonts w:ascii="Tw Cen MT" w:eastAsia="Tw Cen MT" w:hAnsi="Tw Cen MT" w:cs="Tw Cen MT"/>
          <w:sz w:val="18"/>
          <w:szCs w:val="18"/>
          <w:lang w:eastAsia="en-US" w:bidi="ar-SA"/>
        </w:rPr>
        <w:t xml:space="preserve"> </w:t>
      </w:r>
      <w:r w:rsidR="0001317C">
        <w:rPr>
          <w:rFonts w:ascii="Tw Cen MT" w:eastAsia="Tw Cen MT" w:hAnsi="Tw Cen MT" w:cs="Tw Cen MT"/>
          <w:sz w:val="18"/>
          <w:szCs w:val="18"/>
          <w:lang w:eastAsia="en-US" w:bidi="ar-SA"/>
        </w:rPr>
        <w:t>depend</w:t>
      </w:r>
      <w:r w:rsidR="00E50C74">
        <w:rPr>
          <w:rFonts w:ascii="Tw Cen MT" w:eastAsia="Tw Cen MT" w:hAnsi="Tw Cen MT" w:cs="Tw Cen MT"/>
          <w:sz w:val="18"/>
          <w:szCs w:val="18"/>
          <w:lang w:eastAsia="en-US" w:bidi="ar-SA"/>
        </w:rPr>
        <w:t>s</w:t>
      </w:r>
      <w:r w:rsidR="0001317C">
        <w:rPr>
          <w:rFonts w:ascii="Tw Cen MT" w:eastAsia="Tw Cen MT" w:hAnsi="Tw Cen MT" w:cs="Tw Cen MT"/>
          <w:sz w:val="18"/>
          <w:szCs w:val="18"/>
          <w:lang w:eastAsia="en-US" w:bidi="ar-SA"/>
        </w:rPr>
        <w:t xml:space="preserve"> on multiple factors</w:t>
      </w:r>
      <w:r w:rsidR="006F65B7">
        <w:rPr>
          <w:rFonts w:ascii="Tw Cen MT" w:eastAsia="Tw Cen MT" w:hAnsi="Tw Cen MT" w:cs="Tw Cen MT"/>
          <w:sz w:val="18"/>
          <w:szCs w:val="18"/>
          <w:lang w:eastAsia="en-US" w:bidi="ar-SA"/>
        </w:rPr>
        <w:t>. T</w:t>
      </w:r>
      <w:r w:rsidR="002756DF">
        <w:rPr>
          <w:rFonts w:ascii="Tw Cen MT" w:eastAsia="Tw Cen MT" w:hAnsi="Tw Cen MT" w:cs="Tw Cen MT"/>
          <w:sz w:val="18"/>
          <w:szCs w:val="18"/>
          <w:lang w:eastAsia="en-US" w:bidi="ar-SA"/>
        </w:rPr>
        <w:t>he secretion of GH</w:t>
      </w:r>
      <w:r w:rsidR="006F65B7">
        <w:rPr>
          <w:rFonts w:ascii="Tw Cen MT" w:eastAsia="Tw Cen MT" w:hAnsi="Tw Cen MT" w:cs="Tw Cen MT"/>
          <w:sz w:val="18"/>
          <w:szCs w:val="18"/>
          <w:lang w:eastAsia="en-US" w:bidi="ar-SA"/>
        </w:rPr>
        <w:t xml:space="preserve"> is increased by physical activity and thus </w:t>
      </w:r>
      <w:r w:rsidR="002756DF">
        <w:rPr>
          <w:rFonts w:ascii="Tw Cen MT" w:eastAsia="Tw Cen MT" w:hAnsi="Tw Cen MT" w:cs="Tw Cen MT"/>
          <w:sz w:val="18"/>
          <w:szCs w:val="18"/>
          <w:lang w:eastAsia="en-US" w:bidi="ar-SA"/>
        </w:rPr>
        <w:t>athletes</w:t>
      </w:r>
      <w:r w:rsidR="006F65B7">
        <w:rPr>
          <w:rFonts w:ascii="Tw Cen MT" w:eastAsia="Tw Cen MT" w:hAnsi="Tw Cen MT" w:cs="Tw Cen MT"/>
          <w:sz w:val="18"/>
          <w:szCs w:val="18"/>
          <w:lang w:eastAsia="en-US" w:bidi="ar-SA"/>
        </w:rPr>
        <w:t xml:space="preserve"> </w:t>
      </w:r>
      <w:r w:rsidR="00E50C74">
        <w:rPr>
          <w:rFonts w:ascii="Tw Cen MT" w:eastAsia="Tw Cen MT" w:hAnsi="Tw Cen MT" w:cs="Tw Cen MT"/>
          <w:sz w:val="18"/>
          <w:szCs w:val="18"/>
          <w:lang w:eastAsia="en-US" w:bidi="ar-SA"/>
        </w:rPr>
        <w:t>produce</w:t>
      </w:r>
      <w:r w:rsidR="006F65B7">
        <w:rPr>
          <w:rFonts w:ascii="Tw Cen MT" w:eastAsia="Tw Cen MT" w:hAnsi="Tw Cen MT" w:cs="Tw Cen MT"/>
          <w:sz w:val="18"/>
          <w:szCs w:val="18"/>
          <w:lang w:eastAsia="en-US" w:bidi="ar-SA"/>
        </w:rPr>
        <w:t xml:space="preserve"> </w:t>
      </w:r>
      <w:r w:rsidR="00E50C74">
        <w:rPr>
          <w:rFonts w:ascii="Tw Cen MT" w:eastAsia="Tw Cen MT" w:hAnsi="Tw Cen MT" w:cs="Tw Cen MT"/>
          <w:sz w:val="18"/>
          <w:szCs w:val="18"/>
          <w:lang w:eastAsia="en-US" w:bidi="ar-SA"/>
        </w:rPr>
        <w:t>more</w:t>
      </w:r>
      <w:r w:rsidR="00536BFB">
        <w:rPr>
          <w:rFonts w:ascii="Tw Cen MT" w:eastAsia="Tw Cen MT" w:hAnsi="Tw Cen MT" w:cs="Tw Cen MT"/>
          <w:sz w:val="18"/>
          <w:szCs w:val="18"/>
          <w:lang w:eastAsia="en-US" w:bidi="ar-SA"/>
        </w:rPr>
        <w:t xml:space="preserve"> GH</w:t>
      </w:r>
      <w:r w:rsidR="00AA63A1" w:rsidRPr="008C1B66">
        <w:rPr>
          <w:rFonts w:ascii="Tw Cen MT" w:eastAsia="Tw Cen MT" w:hAnsi="Tw Cen MT" w:cs="Tw Cen MT"/>
          <w:sz w:val="18"/>
          <w:szCs w:val="18"/>
          <w:lang w:eastAsia="en-US" w:bidi="ar-SA"/>
        </w:rPr>
        <w:t xml:space="preserve">. </w:t>
      </w:r>
      <w:r w:rsidR="008C1B66" w:rsidRPr="008C1B66">
        <w:rPr>
          <w:rFonts w:ascii="Tw Cen MT" w:eastAsia="Tw Cen MT" w:hAnsi="Tw Cen MT" w:cs="Tw Cen MT"/>
          <w:sz w:val="18"/>
          <w:szCs w:val="18"/>
          <w:lang w:eastAsia="en-US" w:bidi="ar-SA"/>
        </w:rPr>
        <w:t>In addition</w:t>
      </w:r>
      <w:r w:rsidR="00AA63A1" w:rsidRPr="008C1B66">
        <w:rPr>
          <w:rFonts w:ascii="Tw Cen MT" w:eastAsia="Tw Cen MT" w:hAnsi="Tw Cen MT" w:cs="Tw Cen MT"/>
          <w:sz w:val="18"/>
          <w:szCs w:val="18"/>
          <w:lang w:eastAsia="en-US" w:bidi="ar-SA"/>
        </w:rPr>
        <w:t xml:space="preserve">, the secretion </w:t>
      </w:r>
      <w:r w:rsidR="008C1B66" w:rsidRPr="008C1B66">
        <w:rPr>
          <w:rFonts w:ascii="Tw Cen MT" w:eastAsia="Tw Cen MT" w:hAnsi="Tw Cen MT" w:cs="Tw Cen MT"/>
          <w:sz w:val="18"/>
          <w:szCs w:val="18"/>
          <w:lang w:eastAsia="en-US" w:bidi="ar-SA"/>
        </w:rPr>
        <w:t>of GH</w:t>
      </w:r>
      <w:r w:rsidR="00AA63A1" w:rsidRPr="008C1B66">
        <w:rPr>
          <w:rFonts w:ascii="Tw Cen MT" w:eastAsia="Tw Cen MT" w:hAnsi="Tw Cen MT" w:cs="Tw Cen MT"/>
          <w:sz w:val="18"/>
          <w:szCs w:val="18"/>
          <w:lang w:eastAsia="en-US" w:bidi="ar-SA"/>
        </w:rPr>
        <w:t xml:space="preserve"> is pulsatile and influence</w:t>
      </w:r>
      <w:r w:rsidR="00536BFB">
        <w:rPr>
          <w:rFonts w:ascii="Tw Cen MT" w:eastAsia="Tw Cen MT" w:hAnsi="Tw Cen MT" w:cs="Tw Cen MT"/>
          <w:sz w:val="18"/>
          <w:szCs w:val="18"/>
          <w:lang w:eastAsia="en-US" w:bidi="ar-SA"/>
        </w:rPr>
        <w:t xml:space="preserve">d by </w:t>
      </w:r>
      <w:r w:rsidR="00CA6F1E">
        <w:rPr>
          <w:rFonts w:ascii="Tw Cen MT" w:eastAsia="Tw Cen MT" w:hAnsi="Tw Cen MT" w:cs="Tw Cen MT"/>
          <w:sz w:val="18"/>
          <w:szCs w:val="18"/>
          <w:lang w:eastAsia="en-US" w:bidi="ar-SA"/>
        </w:rPr>
        <w:t>nictemeral variations. T</w:t>
      </w:r>
      <w:r w:rsidR="00AA63A1" w:rsidRPr="008C1B66">
        <w:rPr>
          <w:rFonts w:ascii="Tw Cen MT" w:eastAsia="Tw Cen MT" w:hAnsi="Tw Cen MT" w:cs="Tw Cen MT"/>
          <w:sz w:val="18"/>
          <w:szCs w:val="18"/>
          <w:lang w:eastAsia="en-US" w:bidi="ar-SA"/>
        </w:rPr>
        <w:t xml:space="preserve">hese </w:t>
      </w:r>
      <w:r w:rsidR="00CA6F1E">
        <w:rPr>
          <w:rFonts w:ascii="Tw Cen MT" w:eastAsia="Tw Cen MT" w:hAnsi="Tw Cen MT" w:cs="Tw Cen MT"/>
          <w:sz w:val="18"/>
          <w:szCs w:val="18"/>
          <w:lang w:eastAsia="en-US" w:bidi="ar-SA"/>
        </w:rPr>
        <w:t>variations may</w:t>
      </w:r>
      <w:r w:rsidR="00AA63A1" w:rsidRPr="008C1B66">
        <w:rPr>
          <w:rFonts w:ascii="Tw Cen MT" w:eastAsia="Tw Cen MT" w:hAnsi="Tw Cen MT" w:cs="Tw Cen MT"/>
          <w:sz w:val="18"/>
          <w:szCs w:val="18"/>
          <w:lang w:eastAsia="en-US" w:bidi="ar-SA"/>
        </w:rPr>
        <w:t xml:space="preserve"> lead </w:t>
      </w:r>
      <w:r w:rsidR="00983946">
        <w:rPr>
          <w:rFonts w:ascii="Tw Cen MT" w:eastAsia="Tw Cen MT" w:hAnsi="Tw Cen MT" w:cs="Tw Cen MT"/>
          <w:sz w:val="18"/>
          <w:szCs w:val="18"/>
          <w:lang w:eastAsia="en-US" w:bidi="ar-SA"/>
        </w:rPr>
        <w:t xml:space="preserve">to non </w:t>
      </w:r>
      <w:r w:rsidR="00E50C74">
        <w:rPr>
          <w:rFonts w:ascii="Tw Cen MT" w:eastAsia="Tw Cen MT" w:hAnsi="Tw Cen MT" w:cs="Tw Cen MT"/>
          <w:sz w:val="18"/>
          <w:szCs w:val="18"/>
          <w:lang w:eastAsia="en-US" w:bidi="ar-SA"/>
        </w:rPr>
        <w:t xml:space="preserve">representative </w:t>
      </w:r>
      <w:r w:rsidR="009F4E06">
        <w:rPr>
          <w:rFonts w:ascii="Tw Cen MT" w:eastAsia="Tw Cen MT" w:hAnsi="Tw Cen MT" w:cs="Tw Cen MT"/>
          <w:sz w:val="18"/>
          <w:szCs w:val="18"/>
          <w:lang w:eastAsia="en-US" w:bidi="ar-SA"/>
        </w:rPr>
        <w:t>GH measurements. Therefore</w:t>
      </w:r>
      <w:r w:rsidR="00AA63A1" w:rsidRPr="008C1B66">
        <w:rPr>
          <w:rFonts w:ascii="Tw Cen MT" w:eastAsia="Tw Cen MT" w:hAnsi="Tw Cen MT" w:cs="Tw Cen MT"/>
          <w:sz w:val="18"/>
          <w:szCs w:val="18"/>
          <w:lang w:eastAsia="en-US" w:bidi="ar-SA"/>
        </w:rPr>
        <w:t xml:space="preserve">, the </w:t>
      </w:r>
      <w:r w:rsidR="00E50C74">
        <w:rPr>
          <w:rFonts w:ascii="Tw Cen MT" w:eastAsia="Tw Cen MT" w:hAnsi="Tw Cen MT" w:cs="Tw Cen MT"/>
          <w:sz w:val="18"/>
          <w:szCs w:val="18"/>
          <w:lang w:eastAsia="en-US" w:bidi="ar-SA"/>
        </w:rPr>
        <w:t>next generation analysis</w:t>
      </w:r>
      <w:r w:rsidR="00CA6F1E">
        <w:rPr>
          <w:rFonts w:ascii="Tw Cen MT" w:eastAsia="Tw Cen MT" w:hAnsi="Tw Cen MT" w:cs="Tw Cen MT"/>
          <w:sz w:val="18"/>
          <w:szCs w:val="18"/>
          <w:lang w:eastAsia="en-US" w:bidi="ar-SA"/>
        </w:rPr>
        <w:t xml:space="preserve"> of GH</w:t>
      </w:r>
      <w:r w:rsidR="00E50C74">
        <w:rPr>
          <w:rFonts w:ascii="Tw Cen MT" w:eastAsia="Tw Cen MT" w:hAnsi="Tw Cen MT" w:cs="Tw Cen MT"/>
          <w:sz w:val="18"/>
          <w:szCs w:val="18"/>
          <w:lang w:eastAsia="en-US" w:bidi="ar-SA"/>
        </w:rPr>
        <w:t xml:space="preserve"> has</w:t>
      </w:r>
      <w:r w:rsidR="003D734A">
        <w:rPr>
          <w:rFonts w:ascii="Tw Cen MT" w:eastAsia="Tw Cen MT" w:hAnsi="Tw Cen MT" w:cs="Tw Cen MT"/>
          <w:sz w:val="18"/>
          <w:szCs w:val="18"/>
          <w:lang w:eastAsia="en-US" w:bidi="ar-SA"/>
        </w:rPr>
        <w:t xml:space="preserve"> to be more specific and accurate</w:t>
      </w:r>
      <w:r w:rsidR="00D93FDE">
        <w:rPr>
          <w:rFonts w:ascii="Tw Cen MT" w:eastAsia="Tw Cen MT" w:hAnsi="Tw Cen MT" w:cs="Tw Cen MT"/>
          <w:sz w:val="18"/>
          <w:szCs w:val="18"/>
          <w:lang w:eastAsia="en-US" w:bidi="ar-SA"/>
        </w:rPr>
        <w:t>. M</w:t>
      </w:r>
      <w:r w:rsidR="00AA63A1" w:rsidRPr="008C1B66">
        <w:rPr>
          <w:rFonts w:ascii="Tw Cen MT" w:eastAsia="Tw Cen MT" w:hAnsi="Tw Cen MT" w:cs="Tw Cen MT"/>
          <w:sz w:val="18"/>
          <w:szCs w:val="18"/>
          <w:lang w:eastAsia="en-US" w:bidi="ar-SA"/>
        </w:rPr>
        <w:t>ass spectrometry</w:t>
      </w:r>
      <w:r w:rsidR="00D93FDE">
        <w:rPr>
          <w:rFonts w:ascii="Tw Cen MT" w:eastAsia="Tw Cen MT" w:hAnsi="Tw Cen MT" w:cs="Tw Cen MT"/>
          <w:sz w:val="18"/>
          <w:szCs w:val="18"/>
          <w:lang w:eastAsia="en-US" w:bidi="ar-SA"/>
        </w:rPr>
        <w:t xml:space="preserve"> coupled with separative </w:t>
      </w:r>
      <w:r w:rsidR="005B07B8">
        <w:rPr>
          <w:rFonts w:ascii="Tw Cen MT" w:eastAsia="Tw Cen MT" w:hAnsi="Tw Cen MT" w:cs="Tw Cen MT"/>
          <w:sz w:val="18"/>
          <w:szCs w:val="18"/>
          <w:lang w:eastAsia="en-US" w:bidi="ar-SA"/>
        </w:rPr>
        <w:t>methods</w:t>
      </w:r>
      <w:r w:rsidR="00D93FDE">
        <w:rPr>
          <w:rFonts w:ascii="Tw Cen MT" w:eastAsia="Tw Cen MT" w:hAnsi="Tw Cen MT" w:cs="Tw Cen MT"/>
          <w:sz w:val="18"/>
          <w:szCs w:val="18"/>
          <w:lang w:eastAsia="en-US" w:bidi="ar-SA"/>
        </w:rPr>
        <w:t xml:space="preserve"> such as</w:t>
      </w:r>
      <w:r w:rsidR="00AA63A1" w:rsidRPr="008C1B66">
        <w:rPr>
          <w:rFonts w:ascii="Tw Cen MT" w:eastAsia="Tw Cen MT" w:hAnsi="Tw Cen MT" w:cs="Tw Cen MT"/>
          <w:sz w:val="18"/>
          <w:szCs w:val="18"/>
          <w:lang w:eastAsia="en-US" w:bidi="ar-SA"/>
        </w:rPr>
        <w:t xml:space="preserve"> electrophoresis and chromatography</w:t>
      </w:r>
      <w:r w:rsidR="00D93FDE">
        <w:rPr>
          <w:rFonts w:ascii="Tw Cen MT" w:eastAsia="Tw Cen MT" w:hAnsi="Tw Cen MT" w:cs="Tw Cen MT"/>
          <w:sz w:val="18"/>
          <w:szCs w:val="18"/>
          <w:lang w:eastAsia="en-US" w:bidi="ar-SA"/>
        </w:rPr>
        <w:t xml:space="preserve"> could represent a more advanced instrumental set-up to find GH doping practices</w:t>
      </w:r>
      <w:r w:rsidR="00AA63A1" w:rsidRPr="008C1B66">
        <w:rPr>
          <w:rFonts w:ascii="Tw Cen MT" w:eastAsia="Tw Cen MT" w:hAnsi="Tw Cen MT" w:cs="Tw Cen MT"/>
          <w:sz w:val="18"/>
          <w:szCs w:val="18"/>
          <w:lang w:eastAsia="en-US" w:bidi="ar-SA"/>
        </w:rPr>
        <w:t xml:space="preserve">. </w:t>
      </w:r>
      <w:r w:rsidRPr="008C1B66">
        <w:rPr>
          <w:rFonts w:ascii="Tw Cen MT" w:eastAsia="Tw Cen MT" w:hAnsi="Tw Cen MT" w:cs="Tw Cen MT"/>
          <w:sz w:val="18"/>
          <w:szCs w:val="18"/>
          <w:lang w:eastAsia="en-US" w:bidi="ar-SA"/>
        </w:rPr>
        <w:t>Methodolog</w:t>
      </w:r>
      <w:r w:rsidR="008756E6" w:rsidRPr="008C1B66">
        <w:rPr>
          <w:rFonts w:ascii="Tw Cen MT" w:eastAsia="Tw Cen MT" w:hAnsi="Tw Cen MT" w:cs="Tw Cen MT"/>
          <w:sz w:val="18"/>
          <w:szCs w:val="18"/>
          <w:lang w:eastAsia="en-US" w:bidi="ar-SA"/>
        </w:rPr>
        <w:t xml:space="preserve">y &amp; Theoretical Orientation: </w:t>
      </w:r>
      <w:r w:rsidR="00AA63A1" w:rsidRPr="008C1B66">
        <w:rPr>
          <w:rFonts w:ascii="Tw Cen MT" w:eastAsia="Tw Cen MT" w:hAnsi="Tw Cen MT" w:cs="Tw Cen MT"/>
          <w:sz w:val="18"/>
          <w:szCs w:val="18"/>
          <w:lang w:eastAsia="en-US" w:bidi="ar-SA"/>
        </w:rPr>
        <w:t xml:space="preserve">Mass spectrometry coupled to reversed phase chromatography was used to </w:t>
      </w:r>
      <w:r w:rsidR="00D93FDE">
        <w:rPr>
          <w:rFonts w:ascii="Tw Cen MT" w:eastAsia="Tw Cen MT" w:hAnsi="Tw Cen MT" w:cs="Tw Cen MT"/>
          <w:sz w:val="18"/>
          <w:szCs w:val="18"/>
          <w:lang w:eastAsia="en-US" w:bidi="ar-SA"/>
        </w:rPr>
        <w:t>find chemical differences</w:t>
      </w:r>
      <w:r w:rsidR="00AA63A1" w:rsidRPr="008C1B66">
        <w:rPr>
          <w:rFonts w:ascii="Tw Cen MT" w:eastAsia="Tw Cen MT" w:hAnsi="Tw Cen MT" w:cs="Tw Cen MT"/>
          <w:sz w:val="18"/>
          <w:szCs w:val="18"/>
          <w:lang w:eastAsia="en-US" w:bidi="ar-SA"/>
        </w:rPr>
        <w:t xml:space="preserve"> between the pituitary </w:t>
      </w:r>
      <w:r w:rsidR="00536BFB">
        <w:rPr>
          <w:rFonts w:ascii="Tw Cen MT" w:eastAsia="Tw Cen MT" w:hAnsi="Tw Cen MT" w:cs="Tw Cen MT"/>
          <w:sz w:val="18"/>
          <w:szCs w:val="18"/>
          <w:lang w:eastAsia="en-US" w:bidi="ar-SA"/>
        </w:rPr>
        <w:t>h</w:t>
      </w:r>
      <w:r w:rsidR="00A4184B">
        <w:rPr>
          <w:rFonts w:ascii="Tw Cen MT" w:eastAsia="Tw Cen MT" w:hAnsi="Tw Cen MT" w:cs="Tw Cen MT"/>
          <w:sz w:val="18"/>
          <w:szCs w:val="18"/>
          <w:lang w:eastAsia="en-US" w:bidi="ar-SA"/>
        </w:rPr>
        <w:t>GH and the r</w:t>
      </w:r>
      <w:r w:rsidR="00536BFB">
        <w:rPr>
          <w:rFonts w:ascii="Tw Cen MT" w:eastAsia="Tw Cen MT" w:hAnsi="Tw Cen MT" w:cs="Tw Cen MT"/>
          <w:sz w:val="18"/>
          <w:szCs w:val="18"/>
          <w:lang w:eastAsia="en-US" w:bidi="ar-SA"/>
        </w:rPr>
        <w:t>h</w:t>
      </w:r>
      <w:r w:rsidR="00AA63A1" w:rsidRPr="008C1B66">
        <w:rPr>
          <w:rFonts w:ascii="Tw Cen MT" w:eastAsia="Tw Cen MT" w:hAnsi="Tw Cen MT" w:cs="Tw Cen MT"/>
          <w:sz w:val="18"/>
          <w:szCs w:val="18"/>
          <w:lang w:eastAsia="en-US" w:bidi="ar-SA"/>
        </w:rPr>
        <w:t>GH. Inta</w:t>
      </w:r>
      <w:r w:rsidR="00A4184B">
        <w:rPr>
          <w:rFonts w:ascii="Tw Cen MT" w:eastAsia="Tw Cen MT" w:hAnsi="Tw Cen MT" w:cs="Tw Cen MT"/>
          <w:sz w:val="18"/>
          <w:szCs w:val="18"/>
          <w:lang w:eastAsia="en-US" w:bidi="ar-SA"/>
        </w:rPr>
        <w:t>ct GH</w:t>
      </w:r>
      <w:r w:rsidR="00536BFB">
        <w:rPr>
          <w:rFonts w:ascii="Tw Cen MT" w:eastAsia="Tw Cen MT" w:hAnsi="Tw Cen MT" w:cs="Tw Cen MT"/>
          <w:sz w:val="18"/>
          <w:szCs w:val="18"/>
          <w:lang w:eastAsia="en-US" w:bidi="ar-SA"/>
        </w:rPr>
        <w:t xml:space="preserve"> proteins were </w:t>
      </w:r>
      <w:r w:rsidR="00AA63A1" w:rsidRPr="008C1B66">
        <w:rPr>
          <w:rFonts w:ascii="Tw Cen MT" w:eastAsia="Tw Cen MT" w:hAnsi="Tw Cen MT" w:cs="Tw Cen MT"/>
          <w:sz w:val="18"/>
          <w:szCs w:val="18"/>
          <w:lang w:eastAsia="en-US" w:bidi="ar-SA"/>
        </w:rPr>
        <w:t>separated by C8 or C18 column</w:t>
      </w:r>
      <w:r w:rsidR="00D93FDE">
        <w:rPr>
          <w:rFonts w:ascii="Tw Cen MT" w:eastAsia="Tw Cen MT" w:hAnsi="Tw Cen MT" w:cs="Tw Cen MT"/>
          <w:sz w:val="18"/>
          <w:szCs w:val="18"/>
          <w:lang w:eastAsia="en-US" w:bidi="ar-SA"/>
        </w:rPr>
        <w:t>s</w:t>
      </w:r>
      <w:r w:rsidR="00AA63A1" w:rsidRPr="008C1B66">
        <w:rPr>
          <w:rFonts w:ascii="Tw Cen MT" w:eastAsia="Tw Cen MT" w:hAnsi="Tw Cen MT" w:cs="Tw Cen MT"/>
          <w:sz w:val="18"/>
          <w:szCs w:val="18"/>
          <w:lang w:eastAsia="en-US" w:bidi="ar-SA"/>
        </w:rPr>
        <w:t xml:space="preserve"> prior to mass </w:t>
      </w:r>
      <w:r w:rsidR="005B07B8" w:rsidRPr="008C1B66">
        <w:rPr>
          <w:rFonts w:ascii="Tw Cen MT" w:eastAsia="Tw Cen MT" w:hAnsi="Tw Cen MT" w:cs="Tw Cen MT"/>
          <w:sz w:val="18"/>
          <w:szCs w:val="18"/>
          <w:lang w:eastAsia="en-US" w:bidi="ar-SA"/>
        </w:rPr>
        <w:t>analysis.</w:t>
      </w:r>
      <w:r w:rsidR="005B07B8">
        <w:rPr>
          <w:rFonts w:ascii="Tw Cen MT" w:eastAsia="Tw Cen MT" w:hAnsi="Tw Cen MT" w:cs="Tw Cen MT"/>
          <w:sz w:val="18"/>
          <w:szCs w:val="18"/>
          <w:lang w:eastAsia="en-US" w:bidi="ar-SA"/>
        </w:rPr>
        <w:t xml:space="preserve"> </w:t>
      </w:r>
      <w:r w:rsidR="005B07B8" w:rsidRPr="008C1B66">
        <w:rPr>
          <w:rFonts w:ascii="Tw Cen MT" w:eastAsia="Tw Cen MT" w:hAnsi="Tw Cen MT" w:cs="Tw Cen MT"/>
          <w:sz w:val="18"/>
          <w:szCs w:val="18"/>
          <w:lang w:eastAsia="en-US" w:bidi="ar-SA"/>
        </w:rPr>
        <w:t>Findings</w:t>
      </w:r>
      <w:r w:rsidR="00AA63A1" w:rsidRPr="008C1B66">
        <w:rPr>
          <w:rFonts w:ascii="Tw Cen MT" w:eastAsia="Tw Cen MT" w:hAnsi="Tw Cen MT" w:cs="Tw Cen MT"/>
          <w:sz w:val="18"/>
          <w:szCs w:val="18"/>
          <w:lang w:eastAsia="en-US" w:bidi="ar-SA"/>
        </w:rPr>
        <w:t xml:space="preserve">: The pituitary extracted hGH is glycosylated </w:t>
      </w:r>
      <w:r w:rsidR="00D93FDE">
        <w:rPr>
          <w:rFonts w:ascii="Tw Cen MT" w:eastAsia="Tw Cen MT" w:hAnsi="Tw Cen MT" w:cs="Tw Cen MT"/>
          <w:sz w:val="18"/>
          <w:szCs w:val="18"/>
          <w:lang w:eastAsia="en-US" w:bidi="ar-SA"/>
        </w:rPr>
        <w:t>whereas the biotech product</w:t>
      </w:r>
      <w:r w:rsidR="005B07B8">
        <w:rPr>
          <w:rFonts w:ascii="Tw Cen MT" w:eastAsia="Tw Cen MT" w:hAnsi="Tw Cen MT" w:cs="Tw Cen MT"/>
          <w:sz w:val="18"/>
          <w:szCs w:val="18"/>
          <w:lang w:eastAsia="en-US" w:bidi="ar-SA"/>
        </w:rPr>
        <w:t xml:space="preserve"> is</w:t>
      </w:r>
      <w:r w:rsidR="00D93FDE">
        <w:rPr>
          <w:rFonts w:ascii="Tw Cen MT" w:eastAsia="Tw Cen MT" w:hAnsi="Tw Cen MT" w:cs="Tw Cen MT"/>
          <w:sz w:val="18"/>
          <w:szCs w:val="18"/>
          <w:lang w:eastAsia="en-US" w:bidi="ar-SA"/>
        </w:rPr>
        <w:t xml:space="preserve"> sugar free</w:t>
      </w:r>
      <w:r w:rsidR="00AA63A1" w:rsidRPr="008C1B66">
        <w:rPr>
          <w:rFonts w:ascii="Tw Cen MT" w:eastAsia="Tw Cen MT" w:hAnsi="Tw Cen MT" w:cs="Tw Cen MT"/>
          <w:sz w:val="18"/>
          <w:szCs w:val="18"/>
          <w:lang w:eastAsia="en-US" w:bidi="ar-SA"/>
        </w:rPr>
        <w:t xml:space="preserve">. </w:t>
      </w:r>
      <w:r w:rsidR="00D93FDE">
        <w:rPr>
          <w:rFonts w:ascii="Tw Cen MT" w:eastAsia="Tw Cen MT" w:hAnsi="Tw Cen MT" w:cs="Tw Cen MT"/>
          <w:sz w:val="18"/>
          <w:szCs w:val="18"/>
          <w:lang w:eastAsia="en-US" w:bidi="ar-SA"/>
        </w:rPr>
        <w:t>Moreover</w:t>
      </w:r>
      <w:r w:rsidR="00C54938">
        <w:rPr>
          <w:rFonts w:ascii="Tw Cen MT" w:eastAsia="Tw Cen MT" w:hAnsi="Tw Cen MT" w:cs="Tw Cen MT"/>
          <w:sz w:val="18"/>
          <w:szCs w:val="18"/>
          <w:lang w:eastAsia="en-US" w:bidi="ar-SA"/>
        </w:rPr>
        <w:t>,</w:t>
      </w:r>
      <w:r w:rsidR="00D93FDE">
        <w:rPr>
          <w:rFonts w:ascii="Tw Cen MT" w:eastAsia="Tw Cen MT" w:hAnsi="Tw Cen MT" w:cs="Tw Cen MT"/>
          <w:sz w:val="18"/>
          <w:szCs w:val="18"/>
          <w:lang w:eastAsia="en-US" w:bidi="ar-SA"/>
        </w:rPr>
        <w:t xml:space="preserve"> by chance t</w:t>
      </w:r>
      <w:r w:rsidR="00536BFB">
        <w:rPr>
          <w:rFonts w:ascii="Tw Cen MT" w:eastAsia="Tw Cen MT" w:hAnsi="Tw Cen MT" w:cs="Tw Cen MT"/>
          <w:sz w:val="18"/>
          <w:szCs w:val="18"/>
          <w:lang w:eastAsia="en-US" w:bidi="ar-SA"/>
        </w:rPr>
        <w:t xml:space="preserve">his </w:t>
      </w:r>
      <w:r w:rsidR="00AA63A1" w:rsidRPr="008C1B66">
        <w:rPr>
          <w:rFonts w:ascii="Tw Cen MT" w:eastAsia="Tw Cen MT" w:hAnsi="Tw Cen MT" w:cs="Tw Cen MT"/>
          <w:sz w:val="18"/>
          <w:szCs w:val="18"/>
          <w:lang w:eastAsia="en-US" w:bidi="ar-SA"/>
        </w:rPr>
        <w:t xml:space="preserve">glycosylation is </w:t>
      </w:r>
      <w:r w:rsidR="00D93FDE">
        <w:rPr>
          <w:rFonts w:ascii="Tw Cen MT" w:eastAsia="Tw Cen MT" w:hAnsi="Tw Cen MT" w:cs="Tw Cen MT"/>
          <w:sz w:val="18"/>
          <w:szCs w:val="18"/>
          <w:lang w:eastAsia="en-US" w:bidi="ar-SA"/>
        </w:rPr>
        <w:t xml:space="preserve">bounded to </w:t>
      </w:r>
      <w:r w:rsidR="00536BFB">
        <w:rPr>
          <w:rFonts w:ascii="Tw Cen MT" w:eastAsia="Tw Cen MT" w:hAnsi="Tw Cen MT" w:cs="Tw Cen MT"/>
          <w:sz w:val="18"/>
          <w:szCs w:val="18"/>
          <w:lang w:eastAsia="en-US" w:bidi="ar-SA"/>
        </w:rPr>
        <w:t>a tryptic fragment that is proteo</w:t>
      </w:r>
      <w:r w:rsidR="00AA63A1" w:rsidRPr="008C1B66">
        <w:rPr>
          <w:rFonts w:ascii="Tw Cen MT" w:eastAsia="Tw Cen MT" w:hAnsi="Tw Cen MT" w:cs="Tw Cen MT"/>
          <w:sz w:val="18"/>
          <w:szCs w:val="18"/>
          <w:lang w:eastAsia="en-US" w:bidi="ar-SA"/>
        </w:rPr>
        <w:t>specific</w:t>
      </w:r>
      <w:r w:rsidR="00584969">
        <w:rPr>
          <w:rFonts w:ascii="Tw Cen MT" w:eastAsia="Tw Cen MT" w:hAnsi="Tw Cen MT" w:cs="Tw Cen MT"/>
          <w:sz w:val="18"/>
          <w:szCs w:val="18"/>
          <w:lang w:eastAsia="en-US" w:bidi="ar-SA"/>
        </w:rPr>
        <w:t xml:space="preserve"> of the GH protein.</w:t>
      </w:r>
      <w:r w:rsidR="00AA63A1" w:rsidRPr="008C1B66">
        <w:rPr>
          <w:rFonts w:ascii="Tw Cen MT" w:eastAsia="Tw Cen MT" w:hAnsi="Tw Cen MT" w:cs="Tw Cen MT"/>
          <w:sz w:val="18"/>
          <w:szCs w:val="18"/>
          <w:lang w:eastAsia="en-US" w:bidi="ar-SA"/>
        </w:rPr>
        <w:t xml:space="preserve"> </w:t>
      </w:r>
      <w:r w:rsidR="00584969">
        <w:rPr>
          <w:rFonts w:ascii="Tw Cen MT" w:eastAsia="Tw Cen MT" w:hAnsi="Tw Cen MT" w:cs="Tw Cen MT"/>
          <w:sz w:val="18"/>
          <w:szCs w:val="18"/>
          <w:lang w:eastAsia="en-US" w:bidi="ar-SA"/>
        </w:rPr>
        <w:t>T</w:t>
      </w:r>
      <w:r w:rsidR="00AA63A1" w:rsidRPr="008C1B66">
        <w:rPr>
          <w:rFonts w:ascii="Tw Cen MT" w:eastAsia="Tw Cen MT" w:hAnsi="Tw Cen MT" w:cs="Tw Cen MT"/>
          <w:sz w:val="18"/>
          <w:szCs w:val="18"/>
          <w:lang w:eastAsia="en-US" w:bidi="ar-SA"/>
        </w:rPr>
        <w:t xml:space="preserve">hus we </w:t>
      </w:r>
      <w:r w:rsidR="00584969">
        <w:rPr>
          <w:rFonts w:ascii="Tw Cen MT" w:eastAsia="Tw Cen MT" w:hAnsi="Tw Cen MT" w:cs="Tw Cen MT"/>
          <w:sz w:val="18"/>
          <w:szCs w:val="18"/>
          <w:lang w:eastAsia="en-US" w:bidi="ar-SA"/>
        </w:rPr>
        <w:t>expect</w:t>
      </w:r>
      <w:r w:rsidR="00AA63A1" w:rsidRPr="008C1B66">
        <w:rPr>
          <w:rFonts w:ascii="Tw Cen MT" w:eastAsia="Tw Cen MT" w:hAnsi="Tw Cen MT" w:cs="Tw Cen MT"/>
          <w:sz w:val="18"/>
          <w:szCs w:val="18"/>
          <w:lang w:eastAsia="en-US" w:bidi="ar-SA"/>
        </w:rPr>
        <w:t xml:space="preserve"> </w:t>
      </w:r>
      <w:r w:rsidR="003D734A">
        <w:rPr>
          <w:rFonts w:ascii="Tw Cen MT" w:eastAsia="Tw Cen MT" w:hAnsi="Tw Cen MT" w:cs="Tw Cen MT"/>
          <w:sz w:val="18"/>
          <w:szCs w:val="18"/>
          <w:lang w:eastAsia="en-US" w:bidi="ar-SA"/>
        </w:rPr>
        <w:t xml:space="preserve">to </w:t>
      </w:r>
      <w:r w:rsidR="00AA63A1" w:rsidRPr="008C1B66">
        <w:rPr>
          <w:rFonts w:ascii="Tw Cen MT" w:eastAsia="Tw Cen MT" w:hAnsi="Tw Cen MT" w:cs="Tw Cen MT"/>
          <w:sz w:val="18"/>
          <w:szCs w:val="18"/>
          <w:lang w:eastAsia="en-US" w:bidi="ar-SA"/>
        </w:rPr>
        <w:t xml:space="preserve">be able to measure the </w:t>
      </w:r>
      <w:r w:rsidR="00584969" w:rsidRPr="008C1B66">
        <w:rPr>
          <w:rFonts w:ascii="Tw Cen MT" w:eastAsia="Tw Cen MT" w:hAnsi="Tw Cen MT" w:cs="Tw Cen MT"/>
          <w:sz w:val="18"/>
          <w:szCs w:val="18"/>
          <w:lang w:eastAsia="en-US" w:bidi="ar-SA"/>
        </w:rPr>
        <w:t xml:space="preserve">concentration </w:t>
      </w:r>
      <w:r w:rsidR="00584969">
        <w:rPr>
          <w:rFonts w:ascii="Tw Cen MT" w:eastAsia="Tw Cen MT" w:hAnsi="Tw Cen MT" w:cs="Tw Cen MT"/>
          <w:sz w:val="18"/>
          <w:szCs w:val="18"/>
          <w:lang w:eastAsia="en-US" w:bidi="ar-SA"/>
        </w:rPr>
        <w:t xml:space="preserve">ratio </w:t>
      </w:r>
      <w:r w:rsidR="00AA63A1" w:rsidRPr="008C1B66">
        <w:rPr>
          <w:rFonts w:ascii="Tw Cen MT" w:eastAsia="Tw Cen MT" w:hAnsi="Tw Cen MT" w:cs="Tw Cen MT"/>
          <w:sz w:val="18"/>
          <w:szCs w:val="18"/>
          <w:lang w:eastAsia="en-US" w:bidi="ar-SA"/>
        </w:rPr>
        <w:t>between the wild type and the synthetic one.</w:t>
      </w:r>
      <w:r w:rsidRPr="008C1B66">
        <w:rPr>
          <w:rFonts w:ascii="Tw Cen MT" w:eastAsia="Tw Cen MT" w:hAnsi="Tw Cen MT" w:cs="Tw Cen MT"/>
          <w:sz w:val="18"/>
          <w:szCs w:val="18"/>
          <w:lang w:eastAsia="en-US" w:bidi="ar-SA"/>
        </w:rPr>
        <w:t xml:space="preserve"> </w:t>
      </w:r>
      <w:r w:rsidR="008C1B66" w:rsidRPr="008C1B66">
        <w:rPr>
          <w:rFonts w:ascii="Tw Cen MT" w:eastAsia="Tw Cen MT" w:hAnsi="Tw Cen MT" w:cs="Tw Cen MT"/>
          <w:sz w:val="18"/>
          <w:szCs w:val="18"/>
          <w:lang w:eastAsia="en-US" w:bidi="ar-SA"/>
        </w:rPr>
        <w:t xml:space="preserve">Conclusion &amp; Significance: The present work represents the </w:t>
      </w:r>
      <w:r w:rsidR="00584969">
        <w:rPr>
          <w:rFonts w:ascii="Tw Cen MT" w:eastAsia="Tw Cen MT" w:hAnsi="Tw Cen MT" w:cs="Tw Cen MT"/>
          <w:sz w:val="18"/>
          <w:szCs w:val="18"/>
          <w:lang w:eastAsia="en-US" w:bidi="ar-SA"/>
        </w:rPr>
        <w:t xml:space="preserve">first </w:t>
      </w:r>
      <w:r w:rsidR="008C1B66" w:rsidRPr="008C1B66">
        <w:rPr>
          <w:rFonts w:ascii="Tw Cen MT" w:eastAsia="Tw Cen MT" w:hAnsi="Tw Cen MT" w:cs="Tw Cen MT"/>
          <w:sz w:val="18"/>
          <w:szCs w:val="18"/>
          <w:lang w:eastAsia="en-US" w:bidi="ar-SA"/>
        </w:rPr>
        <w:t xml:space="preserve">building blocks towards a novel methodology </w:t>
      </w:r>
      <w:r w:rsidR="00584969">
        <w:rPr>
          <w:rFonts w:ascii="Tw Cen MT" w:eastAsia="Tw Cen MT" w:hAnsi="Tw Cen MT" w:cs="Tw Cen MT"/>
          <w:sz w:val="18"/>
          <w:szCs w:val="18"/>
          <w:lang w:eastAsia="en-US" w:bidi="ar-SA"/>
        </w:rPr>
        <w:t xml:space="preserve">for </w:t>
      </w:r>
      <w:r w:rsidR="00536BFB">
        <w:rPr>
          <w:rFonts w:ascii="Tw Cen MT" w:eastAsia="Tw Cen MT" w:hAnsi="Tw Cen MT" w:cs="Tw Cen MT"/>
          <w:sz w:val="18"/>
          <w:szCs w:val="18"/>
          <w:lang w:eastAsia="en-US" w:bidi="ar-SA"/>
        </w:rPr>
        <w:t>a</w:t>
      </w:r>
      <w:r w:rsidR="00584969">
        <w:rPr>
          <w:rFonts w:ascii="Tw Cen MT" w:eastAsia="Tw Cen MT" w:hAnsi="Tw Cen MT" w:cs="Tw Cen MT"/>
          <w:sz w:val="18"/>
          <w:szCs w:val="18"/>
          <w:lang w:eastAsia="en-US" w:bidi="ar-SA"/>
        </w:rPr>
        <w:t xml:space="preserve"> novel</w:t>
      </w:r>
      <w:r w:rsidR="00536BFB">
        <w:rPr>
          <w:rFonts w:ascii="Tw Cen MT" w:eastAsia="Tw Cen MT" w:hAnsi="Tw Cen MT" w:cs="Tw Cen MT"/>
          <w:sz w:val="18"/>
          <w:szCs w:val="18"/>
          <w:lang w:eastAsia="en-US" w:bidi="ar-SA"/>
        </w:rPr>
        <w:t xml:space="preserve"> </w:t>
      </w:r>
      <w:r w:rsidR="008C1B66" w:rsidRPr="008C1B66">
        <w:rPr>
          <w:rFonts w:ascii="Tw Cen MT" w:eastAsia="Tw Cen MT" w:hAnsi="Tw Cen MT" w:cs="Tw Cen MT"/>
          <w:sz w:val="18"/>
          <w:szCs w:val="18"/>
          <w:lang w:eastAsia="en-US" w:bidi="ar-SA"/>
        </w:rPr>
        <w:t>hGH anti-doping test.</w:t>
      </w:r>
      <w:r w:rsidR="008C1B66">
        <w:rPr>
          <w:rFonts w:ascii="Tw Cen MT" w:eastAsia="Tw Cen MT" w:hAnsi="Tw Cen MT" w:cs="Tw Cen MT"/>
          <w:sz w:val="18"/>
          <w:szCs w:val="18"/>
          <w:lang w:eastAsia="en-US" w:bidi="ar-SA"/>
        </w:rPr>
        <w:t xml:space="preserve"> </w:t>
      </w:r>
      <w:r w:rsidR="001D1966">
        <w:rPr>
          <w:rFonts w:ascii="Tw Cen MT" w:eastAsia="Tw Cen MT" w:hAnsi="Tw Cen MT" w:cs="Tw Cen MT"/>
          <w:sz w:val="18"/>
          <w:szCs w:val="18"/>
          <w:lang w:eastAsia="en-US" w:bidi="ar-SA"/>
        </w:rPr>
        <w:t>In addition, t</w:t>
      </w:r>
      <w:r w:rsidR="00CA6F1E">
        <w:rPr>
          <w:rFonts w:ascii="Tw Cen MT" w:eastAsia="Tw Cen MT" w:hAnsi="Tw Cen MT" w:cs="Tw Cen MT"/>
          <w:sz w:val="18"/>
          <w:szCs w:val="18"/>
          <w:lang w:eastAsia="en-US" w:bidi="ar-SA"/>
        </w:rPr>
        <w:t>he</w:t>
      </w:r>
      <w:r w:rsidR="00584969">
        <w:rPr>
          <w:rFonts w:ascii="Tw Cen MT" w:eastAsia="Tw Cen MT" w:hAnsi="Tw Cen MT" w:cs="Tw Cen MT"/>
          <w:sz w:val="18"/>
          <w:szCs w:val="18"/>
          <w:lang w:eastAsia="en-US" w:bidi="ar-SA"/>
        </w:rPr>
        <w:t xml:space="preserve"> collect</w:t>
      </w:r>
      <w:r w:rsidR="00536BFB">
        <w:rPr>
          <w:rFonts w:ascii="Tw Cen MT" w:eastAsia="Tw Cen MT" w:hAnsi="Tw Cen MT" w:cs="Tw Cen MT"/>
          <w:sz w:val="18"/>
          <w:szCs w:val="18"/>
          <w:lang w:eastAsia="en-US" w:bidi="ar-SA"/>
        </w:rPr>
        <w:t xml:space="preserve">ed data </w:t>
      </w:r>
      <w:r w:rsidR="00584969">
        <w:rPr>
          <w:rFonts w:ascii="Tw Cen MT" w:eastAsia="Tw Cen MT" w:hAnsi="Tw Cen MT" w:cs="Tw Cen MT"/>
          <w:sz w:val="18"/>
          <w:szCs w:val="18"/>
          <w:lang w:eastAsia="en-US" w:bidi="ar-SA"/>
        </w:rPr>
        <w:t>from</w:t>
      </w:r>
      <w:r w:rsidR="00536BFB">
        <w:rPr>
          <w:rFonts w:ascii="Tw Cen MT" w:eastAsia="Tw Cen MT" w:hAnsi="Tw Cen MT" w:cs="Tw Cen MT"/>
          <w:sz w:val="18"/>
          <w:szCs w:val="18"/>
          <w:lang w:eastAsia="en-US" w:bidi="ar-SA"/>
        </w:rPr>
        <w:t xml:space="preserve"> the </w:t>
      </w:r>
      <w:r w:rsidR="00CA6F1E">
        <w:rPr>
          <w:rFonts w:ascii="Tw Cen MT" w:eastAsia="Tw Cen MT" w:hAnsi="Tw Cen MT" w:cs="Tw Cen MT"/>
          <w:sz w:val="18"/>
          <w:szCs w:val="18"/>
          <w:lang w:eastAsia="en-US" w:bidi="ar-SA"/>
        </w:rPr>
        <w:t xml:space="preserve">analysis of </w:t>
      </w:r>
      <w:r w:rsidR="00536BFB">
        <w:rPr>
          <w:rFonts w:ascii="Tw Cen MT" w:eastAsia="Tw Cen MT" w:hAnsi="Tw Cen MT" w:cs="Tw Cen MT"/>
          <w:sz w:val="18"/>
          <w:szCs w:val="18"/>
          <w:lang w:eastAsia="en-US" w:bidi="ar-SA"/>
        </w:rPr>
        <w:t>different h</w:t>
      </w:r>
      <w:r w:rsidR="00CA6F1E">
        <w:rPr>
          <w:rFonts w:ascii="Tw Cen MT" w:eastAsia="Tw Cen MT" w:hAnsi="Tw Cen MT" w:cs="Tw Cen MT"/>
          <w:sz w:val="18"/>
          <w:szCs w:val="18"/>
          <w:lang w:eastAsia="en-US" w:bidi="ar-SA"/>
        </w:rPr>
        <w:t xml:space="preserve">GH </w:t>
      </w:r>
      <w:r w:rsidR="00536BFB">
        <w:rPr>
          <w:rFonts w:ascii="Tw Cen MT" w:eastAsia="Tw Cen MT" w:hAnsi="Tw Cen MT" w:cs="Tw Cen MT"/>
          <w:sz w:val="18"/>
          <w:szCs w:val="18"/>
          <w:lang w:eastAsia="en-US" w:bidi="ar-SA"/>
        </w:rPr>
        <w:t xml:space="preserve">preparations </w:t>
      </w:r>
      <w:r w:rsidR="00584969">
        <w:rPr>
          <w:rFonts w:ascii="Tw Cen MT" w:eastAsia="Tw Cen MT" w:hAnsi="Tw Cen MT" w:cs="Tw Cen MT"/>
          <w:sz w:val="18"/>
          <w:szCs w:val="18"/>
          <w:lang w:eastAsia="en-US" w:bidi="ar-SA"/>
        </w:rPr>
        <w:t>should lead to other practical analytical applications</w:t>
      </w:r>
      <w:r w:rsidR="007A5CF1">
        <w:rPr>
          <w:rFonts w:ascii="Tw Cen MT" w:eastAsia="Tw Cen MT" w:hAnsi="Tw Cen MT" w:cs="Tw Cen MT"/>
          <w:sz w:val="18"/>
          <w:szCs w:val="18"/>
          <w:lang w:eastAsia="en-US" w:bidi="ar-SA"/>
        </w:rPr>
        <w:t xml:space="preserve"> for quality cont</w:t>
      </w:r>
      <w:r w:rsidR="005D4B89">
        <w:rPr>
          <w:rFonts w:ascii="Tw Cen MT" w:eastAsia="Tw Cen MT" w:hAnsi="Tw Cen MT" w:cs="Tw Cen MT"/>
          <w:sz w:val="18"/>
          <w:szCs w:val="18"/>
          <w:lang w:eastAsia="en-US" w:bidi="ar-SA"/>
        </w:rPr>
        <w:t>rol.</w:t>
      </w:r>
      <w:r w:rsidR="00A4184B">
        <w:rPr>
          <w:rFonts w:ascii="Tw Cen MT" w:eastAsia="Tw Cen MT" w:hAnsi="Tw Cen MT" w:cs="Tw Cen MT"/>
          <w:sz w:val="18"/>
          <w:szCs w:val="18"/>
          <w:lang w:eastAsia="en-US" w:bidi="ar-SA"/>
        </w:rPr>
        <w:t xml:space="preserve"> The availability of a test that quantifies the natural and the rhGH </w:t>
      </w:r>
      <w:r w:rsidR="00584969">
        <w:rPr>
          <w:rFonts w:ascii="Tw Cen MT" w:eastAsia="Tw Cen MT" w:hAnsi="Tw Cen MT" w:cs="Tw Cen MT"/>
          <w:sz w:val="18"/>
          <w:szCs w:val="18"/>
          <w:lang w:eastAsia="en-US" w:bidi="ar-SA"/>
        </w:rPr>
        <w:t>will</w:t>
      </w:r>
      <w:r w:rsidR="00C54938">
        <w:rPr>
          <w:rFonts w:ascii="Tw Cen MT" w:eastAsia="Tw Cen MT" w:hAnsi="Tw Cen MT" w:cs="Tw Cen MT"/>
          <w:sz w:val="18"/>
          <w:szCs w:val="18"/>
          <w:lang w:eastAsia="en-US" w:bidi="ar-SA"/>
        </w:rPr>
        <w:t xml:space="preserve"> </w:t>
      </w:r>
      <w:r w:rsidR="00A4184B">
        <w:rPr>
          <w:rFonts w:ascii="Tw Cen MT" w:eastAsia="Tw Cen MT" w:hAnsi="Tw Cen MT" w:cs="Tw Cen MT"/>
          <w:sz w:val="18"/>
          <w:szCs w:val="18"/>
          <w:lang w:eastAsia="en-US" w:bidi="ar-SA"/>
        </w:rPr>
        <w:t xml:space="preserve">also </w:t>
      </w:r>
      <w:r w:rsidR="00C54938">
        <w:rPr>
          <w:rFonts w:ascii="Tw Cen MT" w:eastAsia="Tw Cen MT" w:hAnsi="Tw Cen MT" w:cs="Tw Cen MT"/>
          <w:sz w:val="18"/>
          <w:szCs w:val="18"/>
          <w:lang w:eastAsia="en-US" w:bidi="ar-SA"/>
        </w:rPr>
        <w:t xml:space="preserve">be </w:t>
      </w:r>
      <w:r w:rsidR="00A4184B">
        <w:rPr>
          <w:rFonts w:ascii="Tw Cen MT" w:eastAsia="Tw Cen MT" w:hAnsi="Tw Cen MT" w:cs="Tw Cen MT"/>
          <w:sz w:val="18"/>
          <w:szCs w:val="18"/>
          <w:lang w:eastAsia="en-US" w:bidi="ar-SA"/>
        </w:rPr>
        <w:t>beneficial for GH deficiency diagnosis and treatment follow-up.</w:t>
      </w:r>
      <w:r w:rsidR="005D4B89">
        <w:rPr>
          <w:rFonts w:ascii="Tw Cen MT" w:eastAsia="Tw Cen MT" w:hAnsi="Tw Cen MT" w:cs="Tw Cen MT"/>
          <w:sz w:val="18"/>
          <w:szCs w:val="18"/>
          <w:lang w:eastAsia="en-US" w:bidi="ar-SA"/>
        </w:rPr>
        <w:t xml:space="preserve"> </w:t>
      </w:r>
    </w:p>
    <w:p w14:paraId="232BBF71" w14:textId="77777777" w:rsidR="00AE3E37" w:rsidRDefault="00A9710C">
      <w:pPr>
        <w:pStyle w:val="Heading3"/>
        <w:spacing w:before="74"/>
      </w:pPr>
      <w:r>
        <w:rPr>
          <w:b w:val="0"/>
        </w:rPr>
        <w:br w:type="column"/>
      </w:r>
      <w:r>
        <w:rPr>
          <w:color w:val="BF5A14"/>
        </w:rPr>
        <w:lastRenderedPageBreak/>
        <w:t>Image</w:t>
      </w:r>
    </w:p>
    <w:p w14:paraId="605C1C61" w14:textId="4A0DCBA2" w:rsidR="00AE3E37" w:rsidRPr="008B0A33" w:rsidRDefault="00D95162">
      <w:pPr>
        <w:pStyle w:val="BodyText"/>
        <w:spacing w:before="2"/>
        <w:rPr>
          <w:caps/>
        </w:rPr>
      </w:pPr>
      <w:r>
        <w:rPr>
          <w:caps/>
          <w:noProof/>
          <w:lang w:val="en-GB" w:eastAsia="en-GB"/>
        </w:rPr>
        <w:drawing>
          <wp:inline distT="0" distB="0" distL="0" distR="0" wp14:anchorId="2DDA3141" wp14:editId="6D410687">
            <wp:extent cx="3165475" cy="14941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gh-sequence.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1494155"/>
                    </a:xfrm>
                    <a:prstGeom prst="rect">
                      <a:avLst/>
                    </a:prstGeom>
                  </pic:spPr>
                </pic:pic>
              </a:graphicData>
            </a:graphic>
          </wp:inline>
        </w:drawing>
      </w:r>
      <w:r w:rsidR="00EE67DE" w:rsidRPr="00EE67DE">
        <w:rPr>
          <w:caps/>
          <w:noProof/>
          <w:lang w:val="en-GB" w:eastAsia="en-GB"/>
        </w:rPr>
        <mc:AlternateContent>
          <mc:Choice Requires="wps">
            <w:drawing>
              <wp:anchor distT="0" distB="0" distL="114300" distR="114300" simplePos="0" relativeHeight="251671552" behindDoc="0" locked="0" layoutInCell="1" allowOverlap="1" wp14:anchorId="29214E4A" wp14:editId="0E49DF52">
                <wp:simplePos x="0" y="0"/>
                <wp:positionH relativeFrom="column">
                  <wp:posOffset>4339590</wp:posOffset>
                </wp:positionH>
                <wp:positionV relativeFrom="paragraph">
                  <wp:posOffset>-3132455</wp:posOffset>
                </wp:positionV>
                <wp:extent cx="286385" cy="339725"/>
                <wp:effectExtent l="0" t="0" r="0" b="0"/>
                <wp:wrapNone/>
                <wp:docPr id="35" name="ZoneTexte 34"/>
                <wp:cNvGraphicFramePr/>
                <a:graphic xmlns:a="http://schemas.openxmlformats.org/drawingml/2006/main">
                  <a:graphicData uri="http://schemas.microsoft.com/office/word/2010/wordprocessingShape">
                    <wps:wsp>
                      <wps:cNvSpPr txBox="1"/>
                      <wps:spPr>
                        <a:xfrm>
                          <a:off x="0" y="0"/>
                          <a:ext cx="286385" cy="339725"/>
                        </a:xfrm>
                        <a:prstGeom prst="rect">
                          <a:avLst/>
                        </a:prstGeom>
                        <a:noFill/>
                      </wps:spPr>
                      <wps:txbx>
                        <w:txbxContent>
                          <w:p w14:paraId="53C1ACAD"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wps:txbx>
                      <wps:bodyPr wrap="none" rtlCol="0">
                        <a:spAutoFit/>
                      </wps:bodyPr>
                    </wps:wsp>
                  </a:graphicData>
                </a:graphic>
              </wp:anchor>
            </w:drawing>
          </mc:Choice>
          <mc:Fallback>
            <w:pict>
              <v:shapetype w14:anchorId="29214E4A" id="_x0000_t202" coordsize="21600,21600" o:spt="202" path="m0,0l0,21600,21600,21600,21600,0xe">
                <v:stroke joinstyle="miter"/>
                <v:path gradientshapeok="t" o:connecttype="rect"/>
              </v:shapetype>
              <v:shape id="ZoneTexte_x0020_34" o:spid="_x0000_s1026" type="#_x0000_t202" style="position:absolute;margin-left:341.7pt;margin-top:-246.6pt;width:22.55pt;height:26.7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GHRJMBAAAOAwAADgAAAGRycy9lMm9Eb2MueG1srFLJTsMwEL0j8Q+W7zSlYSlRU8QiuCBAAi7c&#10;XMduLMUey2Oa9O8ZuwsIboiLl1me33vj2eVgO7ZSAQ24mh+PxpwpJ6Exblnzt9e7oylnGIVrRAdO&#10;1XytkF/ODw9mva/UBFroGhUYgTisel/zNkZfFQXKVlmBI/DKUVJDsCLSNSyLJoie0G1XTMbjs6KH&#10;0PgAUiFS9HaT5POMr7WS8UlrVJF1NSduMa8hr4u0FvOZqJZB+NbILQ3xBxZWGEeP7qFuRRTsI5hf&#10;UNbIAAg6jiTYArQ2UmUNpOZ4/EPNSyu8ylrIHPR7m/D/YOXj6jkw09S8POXMCUszeqdJvaohKlae&#10;JIN6jxXVvXiqjMM1DDToXRwpmHQPOti0kyJGebJ6vbeXoJik4GR6Vk7pFUmpsrw4n5wmlOKr2QeM&#10;9wosS4eaB5peNlWsHjBuSncl6S0Hd6brUjwx3DBJpzgshi3tBTRrYt3TgGvuSBdnIXY3kH9DwkB/&#10;9REJJ8On5k3HFpNMzwS3HyRN9fs9V3194/knAAAA//8DAFBLAwQUAAYACAAAACEA/EvrXeEAAAAN&#10;AQAADwAAAGRycy9kb3ducmV2LnhtbEyPwVKDMBCG7874Dpl1xlsbCrQFSug4Vc/W6gOkZEsQsmFI&#10;2qJPb3rS4+5+8+/3l9vJ9OyCo2stCVjMI2BItVUtNQI+P15nGTDnJSnZW0IB3+hgW93flbJQ9krv&#10;eDn4hoUQcoUUoL0fCs5drdFIN7cDUrid7GikD+PYcDXKawg3PY+jaMWNbCl80HLAnca6O5yNgCwy&#10;b12Xx3tn0p/FUu+e7cvwJcTjw/S0AeZx8n8w3PSDOlTB6WjPpBzrBayyJA2ogFmaJzGwgKzjbAns&#10;eFsl+Rp4VfL/LapfAAAA//8DAFBLAQItABQABgAIAAAAIQDkmcPA+wAAAOEBAAATAAAAAAAAAAAA&#10;AAAAAAAAAABbQ29udGVudF9UeXBlc10ueG1sUEsBAi0AFAAGAAgAAAAhACOyauHXAAAAlAEAAAsA&#10;AAAAAAAAAAAAAAAALAEAAF9yZWxzLy5yZWxzUEsBAi0AFAAGAAgAAAAhAMSxh0STAQAADgMAAA4A&#10;AAAAAAAAAAAAAAAALAIAAGRycy9lMm9Eb2MueG1sUEsBAi0AFAAGAAgAAAAhAPxL613hAAAADQEA&#10;AA8AAAAAAAAAAAAAAAAA6wMAAGRycy9kb3ducmV2LnhtbFBLBQYAAAAABAAEAPMAAAD5BAAAAAA=&#10;" filled="f" stroked="f">
                <v:textbox style="mso-fit-shape-to-text:t">
                  <w:txbxContent>
                    <w:p w14:paraId="53C1ACAD"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v:textbox>
              </v:shape>
            </w:pict>
          </mc:Fallback>
        </mc:AlternateContent>
      </w:r>
      <w:r w:rsidR="00EE67DE" w:rsidRPr="00EE67DE">
        <w:rPr>
          <w:caps/>
          <w:noProof/>
          <w:lang w:val="en-GB" w:eastAsia="en-GB"/>
        </w:rPr>
        <mc:AlternateContent>
          <mc:Choice Requires="wps">
            <w:drawing>
              <wp:anchor distT="0" distB="0" distL="114300" distR="114300" simplePos="0" relativeHeight="251672576" behindDoc="0" locked="0" layoutInCell="1" allowOverlap="1" wp14:anchorId="0FB08D00" wp14:editId="031DF745">
                <wp:simplePos x="0" y="0"/>
                <wp:positionH relativeFrom="column">
                  <wp:posOffset>9165590</wp:posOffset>
                </wp:positionH>
                <wp:positionV relativeFrom="paragraph">
                  <wp:posOffset>-587375</wp:posOffset>
                </wp:positionV>
                <wp:extent cx="286385" cy="339725"/>
                <wp:effectExtent l="0" t="0" r="0" b="0"/>
                <wp:wrapNone/>
                <wp:docPr id="36" name="ZoneTexte 35"/>
                <wp:cNvGraphicFramePr/>
                <a:graphic xmlns:a="http://schemas.openxmlformats.org/drawingml/2006/main">
                  <a:graphicData uri="http://schemas.microsoft.com/office/word/2010/wordprocessingShape">
                    <wps:wsp>
                      <wps:cNvSpPr txBox="1"/>
                      <wps:spPr>
                        <a:xfrm>
                          <a:off x="0" y="0"/>
                          <a:ext cx="286385" cy="339725"/>
                        </a:xfrm>
                        <a:prstGeom prst="rect">
                          <a:avLst/>
                        </a:prstGeom>
                        <a:noFill/>
                      </wps:spPr>
                      <wps:txbx>
                        <w:txbxContent>
                          <w:p w14:paraId="480A5040"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2</w:t>
                            </w:r>
                          </w:p>
                        </w:txbxContent>
                      </wps:txbx>
                      <wps:bodyPr wrap="none" rtlCol="0">
                        <a:spAutoFit/>
                      </wps:bodyPr>
                    </wps:wsp>
                  </a:graphicData>
                </a:graphic>
              </wp:anchor>
            </w:drawing>
          </mc:Choice>
          <mc:Fallback>
            <w:pict>
              <v:shape w14:anchorId="0FB08D00" id="ZoneTexte_x0020_35" o:spid="_x0000_s1027" type="#_x0000_t202" style="position:absolute;margin-left:721.7pt;margin-top:-46.2pt;width:22.55pt;height:26.75pt;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af5YBAAAVAwAADgAAAGRycy9lMm9Eb2MueG1srFLLTsMwELwj8Q+W7zSlEaVETREPwQUBUuHC&#10;zXXsxlLstbymSf+etVsKghvi4sfuenZm1vPLwXZsowIacDU/HY05U05CY9y65q8vdyczzjAK14gO&#10;nKr5ViG/XBwfzXtfqQm00DUqMAJxWPW+5m2MvioKlK2yAkfglaOkhmBFpGtYF00QPaHbrpiMx9Oi&#10;h9D4AFIhUvR2l+SLjK+1kvFJa1SRdTUnbjGvIa+rtBaLuajWQfjWyD0N8QcWVhhHTQ9QtyIK9h7M&#10;LyhrZAAEHUcSbAFaG6myBlJzOv6hZtkKr7IWMgf9wSb8P1j5uHkOzDQ1L6ecOWFpRm80qRc1RMXK&#10;s2RQ77GiuqWnyjhcw0CD/owjBZPuQQebdlLEKE9Wbw/2EhSTFJzMpuXsjDNJqbK8OJ9k9OLrsQ8Y&#10;7xVYlg41DzS9bKrYPGAkIlT6WZJ6ObgzXZfiieGOSTrFYTVkSQeWK2i2RL6nOdfckTzOQuxuIH+K&#10;BIX+6j0SXO6SMHYv9tDkfW6+/ydpuN/vuerrNy8+AAAA//8DAFBLAwQUAAYACAAAACEAMm36lt8A&#10;AAANAQAADwAAAGRycy9kb3ducmV2LnhtbEyPwU7DMBBE70j8g7VI3FqnqYucEKdCBc5A4QPceIlD&#10;YjuK3Tbw9WxPcNvZHc2+qbazG9gJp9gFr2C1zIChb4LpfKvg4/15IYHFpL3RQ/Co4BsjbOvrq0qX&#10;Jpz9G572qWUU4mOpFdiUxpLz2Fh0Oi7DiJ5un2FyOpGcWm4mfaZwN/A8y+64052nD1aPuLPY9Puj&#10;UyAz99L3Rf4anfhZbezuMTyNX0rd3swP98ASzunPDBd8QoeamA7h6E1kA2kh1oK8ChZFTsPFIqTc&#10;ADvQai0L4HXF/7eofwEAAP//AwBQSwECLQAUAAYACAAAACEA5JnDwPsAAADhAQAAEwAAAAAAAAAA&#10;AAAAAAAAAAAAW0NvbnRlbnRfVHlwZXNdLnhtbFBLAQItABQABgAIAAAAIQAjsmrh1wAAAJQBAAAL&#10;AAAAAAAAAAAAAAAAACwBAABfcmVscy8ucmVsc1BLAQItABQABgAIAAAAIQD7xVp/lgEAABUDAAAO&#10;AAAAAAAAAAAAAAAAACwCAABkcnMvZTJvRG9jLnhtbFBLAQItABQABgAIAAAAIQAybfqW3wAAAA0B&#10;AAAPAAAAAAAAAAAAAAAAAO4DAABkcnMvZG93bnJldi54bWxQSwUGAAAAAAQABADzAAAA+gQAAAAA&#10;" filled="f" stroked="f">
                <v:textbox style="mso-fit-shape-to-text:t">
                  <w:txbxContent>
                    <w:p w14:paraId="480A5040"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2</w:t>
                      </w:r>
                    </w:p>
                  </w:txbxContent>
                </v:textbox>
              </v:shape>
            </w:pict>
          </mc:Fallback>
        </mc:AlternateContent>
      </w:r>
      <w:r w:rsidR="00EE67DE" w:rsidRPr="00EE67DE">
        <w:rPr>
          <w:caps/>
          <w:noProof/>
          <w:lang w:val="en-GB" w:eastAsia="en-GB"/>
        </w:rPr>
        <mc:AlternateContent>
          <mc:Choice Requires="wps">
            <w:drawing>
              <wp:anchor distT="0" distB="0" distL="114300" distR="114300" simplePos="0" relativeHeight="251673600" behindDoc="0" locked="0" layoutInCell="1" allowOverlap="1" wp14:anchorId="2FA3C35F" wp14:editId="388ADAEC">
                <wp:simplePos x="0" y="0"/>
                <wp:positionH relativeFrom="column">
                  <wp:posOffset>3992880</wp:posOffset>
                </wp:positionH>
                <wp:positionV relativeFrom="paragraph">
                  <wp:posOffset>569595</wp:posOffset>
                </wp:positionV>
                <wp:extent cx="286385" cy="339725"/>
                <wp:effectExtent l="0" t="0" r="0" b="0"/>
                <wp:wrapNone/>
                <wp:docPr id="37" name="ZoneTexte 36"/>
                <wp:cNvGraphicFramePr/>
                <a:graphic xmlns:a="http://schemas.openxmlformats.org/drawingml/2006/main">
                  <a:graphicData uri="http://schemas.microsoft.com/office/word/2010/wordprocessingShape">
                    <wps:wsp>
                      <wps:cNvSpPr txBox="1"/>
                      <wps:spPr>
                        <a:xfrm>
                          <a:off x="0" y="0"/>
                          <a:ext cx="286385" cy="339725"/>
                        </a:xfrm>
                        <a:prstGeom prst="rect">
                          <a:avLst/>
                        </a:prstGeom>
                        <a:noFill/>
                      </wps:spPr>
                      <wps:txbx>
                        <w:txbxContent>
                          <w:p w14:paraId="4EB57433"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wps:txbx>
                      <wps:bodyPr wrap="none" rtlCol="0">
                        <a:spAutoFit/>
                      </wps:bodyPr>
                    </wps:wsp>
                  </a:graphicData>
                </a:graphic>
              </wp:anchor>
            </w:drawing>
          </mc:Choice>
          <mc:Fallback>
            <w:pict>
              <v:shape w14:anchorId="2FA3C35F" id="ZoneTexte_x0020_36" o:spid="_x0000_s1028" type="#_x0000_t202" style="position:absolute;margin-left:314.4pt;margin-top:44.85pt;width:22.55pt;height:26.75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JWJoBAAAVAwAADgAAAGRycy9lMm9Eb2MueG1srFJNbxshEL1Xyn9A3ON1duWPrryO2ljJpWor&#10;xbn0hlnwIi0MYoh3/e8z4I9UzS3qZYCZ4fHeG1b3o+3ZQQU04Bp+N5lyppyE1rh9w1+2j7dLzjAK&#10;14oenGr4USG/X998WQ2+ViV00LcqMAJxWA++4V2Mvi4KlJ2yAifglaOihmBFpGPYF20QA6Hbviin&#10;03kxQGh9AKkQKbs5Ffk642utZPylNarI+oYTt5hjyHGXYrFeiXofhO+MPNMQn2BhhXH06BVqI6Jg&#10;r8F8gLJGBkDQcSLBFqC1kSprIDV303/UPHfCq6yFzEF/tQn/H6z8efgdmGkbXi04c8LSjP7QpLZq&#10;jIpV82TQ4LGmvmdPnXH8DiMN+pJHSibdow42raSIUZ2sPl7tJSgmKVku59VyxpmkUlV9XZSzhFK8&#10;X/YB45MCy9Km4YGml00Vhx8YT62XlvSWg0fT9ymfGJ6YpF0cd2OWVF5Y7qA9EvmB5txwR/I4C7F/&#10;gPwpEhT6b6+R4PIrCeN04wxN3mee53+Shvv3OXe9/+b1GwAAAP//AwBQSwMEFAAGAAgAAAAhAAip&#10;tmbcAAAACgEAAA8AAABkcnMvZG93bnJldi54bWxMj8FOwzAMQO9I/ENkJG4sXTe6tjSd0IAzMPiA&#10;rDFNaeNUTbYVvh5zgqPlp+fnaju7QZxwCp0nBctFAgKp8aajVsH729NNDiJETUYPnlDBFwbY1pcX&#10;lS6NP9MrnvaxFSyhUGoFNsaxlDI0Fp0OCz8i8e7DT05HHqdWmkmfWe4GmSZJJp3uiC9YPeLOYtPv&#10;j05Bnrjnvi/Sl+DW38tbu3vwj+OnUtdX8/0diIhz/IPhN5/Toeamgz+SCWJQkKU5p0eWFRsQDGSb&#10;VQHiwOR6lYKsK/n/hfoHAAD//wMAUEsBAi0AFAAGAAgAAAAhAOSZw8D7AAAA4QEAABMAAAAAAAAA&#10;AAAAAAAAAAAAAFtDb250ZW50X1R5cGVzXS54bWxQSwECLQAUAAYACAAAACEAI7Jq4dcAAACUAQAA&#10;CwAAAAAAAAAAAAAAAAAsAQAAX3JlbHMvLnJlbHNQSwECLQAUAAYACAAAACEAB+WJWJoBAAAVAwAA&#10;DgAAAAAAAAAAAAAAAAAsAgAAZHJzL2Uyb0RvYy54bWxQSwECLQAUAAYACAAAACEACKm2ZtwAAAAK&#10;AQAADwAAAAAAAAAAAAAAAADyAwAAZHJzL2Rvd25yZXYueG1sUEsFBgAAAAAEAAQA8wAAAPsEAAAA&#10;AA==&#10;" filled="f" stroked="f">
                <v:textbox style="mso-fit-shape-to-text:t">
                  <w:txbxContent>
                    <w:p w14:paraId="4EB57433"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v:textbox>
              </v:shape>
            </w:pict>
          </mc:Fallback>
        </mc:AlternateContent>
      </w:r>
      <w:r w:rsidR="00EE67DE" w:rsidRPr="00EE67DE">
        <w:rPr>
          <w:caps/>
          <w:noProof/>
          <w:lang w:val="en-GB" w:eastAsia="en-GB"/>
        </w:rPr>
        <mc:AlternateContent>
          <mc:Choice Requires="wps">
            <w:drawing>
              <wp:anchor distT="0" distB="0" distL="114300" distR="114300" simplePos="0" relativeHeight="251674624" behindDoc="0" locked="0" layoutInCell="1" allowOverlap="1" wp14:anchorId="41FD5E2F" wp14:editId="301311BC">
                <wp:simplePos x="0" y="0"/>
                <wp:positionH relativeFrom="column">
                  <wp:posOffset>4565650</wp:posOffset>
                </wp:positionH>
                <wp:positionV relativeFrom="paragraph">
                  <wp:posOffset>3874135</wp:posOffset>
                </wp:positionV>
                <wp:extent cx="286385" cy="339725"/>
                <wp:effectExtent l="0" t="0" r="0" b="0"/>
                <wp:wrapNone/>
                <wp:docPr id="38" name="ZoneTexte 37"/>
                <wp:cNvGraphicFramePr/>
                <a:graphic xmlns:a="http://schemas.openxmlformats.org/drawingml/2006/main">
                  <a:graphicData uri="http://schemas.microsoft.com/office/word/2010/wordprocessingShape">
                    <wps:wsp>
                      <wps:cNvSpPr txBox="1"/>
                      <wps:spPr>
                        <a:xfrm>
                          <a:off x="0" y="0"/>
                          <a:ext cx="286385" cy="339725"/>
                        </a:xfrm>
                        <a:prstGeom prst="rect">
                          <a:avLst/>
                        </a:prstGeom>
                        <a:noFill/>
                      </wps:spPr>
                      <wps:txbx>
                        <w:txbxContent>
                          <w:p w14:paraId="2237B746"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wps:txbx>
                      <wps:bodyPr wrap="none" rtlCol="0">
                        <a:spAutoFit/>
                      </wps:bodyPr>
                    </wps:wsp>
                  </a:graphicData>
                </a:graphic>
              </wp:anchor>
            </w:drawing>
          </mc:Choice>
          <mc:Fallback>
            <w:pict>
              <v:shape w14:anchorId="41FD5E2F" id="ZoneTexte_x0020_37" o:spid="_x0000_s1029" type="#_x0000_t202" style="position:absolute;margin-left:359.5pt;margin-top:305.05pt;width:22.55pt;height:26.75pt;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h1tZYBAAAVAwAADgAAAGRycy9lMm9Eb2MueG1srFLLTuswEN0j8Q+W9zSlEdAbNUU8BBsESMCG&#10;nevYjaXYY3lMk/49Y6ctV7BDbJx4Znx8Hl5cDrZjGxXQgKv56WTKmXISGuPWNX97vTuZc4ZRuEZ0&#10;4FTNtwr55fL4aNH7Ss2gha5RgRGIw6r3NW9j9FVRoGyVFTgBrxw1NQQrIm3DumiC6AnddsVsOj0v&#10;egiNDyAVIlVvxyZfZnytlYxPWqOKrKs5cYt5DXldpbVYLkS1DsK3Ru5oiF+wsMI4uvQAdSuiYB/B&#10;/ICyRgZA0HEiwRagtZEqayA1p9Nval5a4VXWQuagP9iEfwcrHzfPgZmm5iUl5YSljN4pqVc1RMXK&#10;i2RQ77GiuRdPk3G4hoGC3teRikn3oINNX1LEqE9Wbw/2EhSTVJzNz8v5GWeSWmX572J2llCKr8M+&#10;YLxXYFn6qXmg9LKpYvOAcRzdj6S7HNyZrkv1xHBkkv7isBpGSXuWK2i2RL6nnGvuSB5nIXY3kB9F&#10;gkJ/9REJLt+SMMYTO2jyPvPcvZMU7v/7PPX1mpefAAAA//8DAFBLAwQUAAYACAAAACEALRDfxN8A&#10;AAALAQAADwAAAGRycy9kb3ducmV2LnhtbEyPwU7DMBBE70j8g7VI3KjtUtw2xKlQgTOl8AFubOKQ&#10;eB3Fbhv4epYT3HZ3RrNvys0UenZyY2ojapAzAcxhHW2LjYb3t+ebFbCUDVrTR3QavlyCTXV5UZrC&#10;xjO+utM+N4xCMBVGg895KDhPtXfBpFkcHJL2EcdgMq1jw+1ozhQeej4XQvFgWqQP3gxu613d7Y9B&#10;w0qEl65bz3cpLL7lnd8+xqfhU+vrq+nhHlh2U/4zwy8+oUNFTId4RJtYr2Ep19Qla1BSSGDkWKoF&#10;DQe6qFsFvCr5/w7VDwAAAP//AwBQSwECLQAUAAYACAAAACEA5JnDwPsAAADhAQAAEwAAAAAAAAAA&#10;AAAAAAAAAAAAW0NvbnRlbnRfVHlwZXNdLnhtbFBLAQItABQABgAIAAAAIQAjsmrh1wAAAJQBAAAL&#10;AAAAAAAAAAAAAAAAACwBAABfcmVscy8ucmVsc1BLAQItABQABgAIAAAAIQA1eHW1lgEAABUDAAAO&#10;AAAAAAAAAAAAAAAAACwCAABkcnMvZTJvRG9jLnhtbFBLAQItABQABgAIAAAAIQAtEN/E3wAAAAsB&#10;AAAPAAAAAAAAAAAAAAAAAO4DAABkcnMvZG93bnJldi54bWxQSwUGAAAAAAQABADzAAAA+gQAAAAA&#10;" filled="f" stroked="f">
                <v:textbox style="mso-fit-shape-to-text:t">
                  <w:txbxContent>
                    <w:p w14:paraId="2237B746" w14:textId="77777777" w:rsidR="00EE67DE" w:rsidRDefault="00EE67DE" w:rsidP="00EE67DE">
                      <w:pPr>
                        <w:pStyle w:val="NormalWeb"/>
                        <w:spacing w:before="0" w:beforeAutospacing="0" w:after="0" w:afterAutospacing="0"/>
                      </w:pPr>
                      <w:r>
                        <w:rPr>
                          <w:rFonts w:asciiTheme="minorHAnsi" w:hAnsi="Calibri" w:cstheme="minorBidi"/>
                          <w:color w:val="000000" w:themeColor="text1"/>
                          <w:kern w:val="24"/>
                          <w:sz w:val="32"/>
                          <w:szCs w:val="32"/>
                        </w:rPr>
                        <w:t>1</w:t>
                      </w:r>
                    </w:p>
                  </w:txbxContent>
                </v:textbox>
              </v:shape>
            </w:pict>
          </mc:Fallback>
        </mc:AlternateContent>
      </w:r>
    </w:p>
    <w:p w14:paraId="35CC4F3A" w14:textId="51DD0882" w:rsidR="00361DF6" w:rsidRDefault="00361DF6" w:rsidP="005973B9">
      <w:pPr>
        <w:spacing w:line="204" w:lineRule="exact"/>
        <w:rPr>
          <w:rFonts w:ascii="Arial"/>
          <w:b/>
          <w:color w:val="BF5A14"/>
          <w:sz w:val="20"/>
          <w:lang w:val="fr-FR"/>
        </w:rPr>
      </w:pPr>
    </w:p>
    <w:p w14:paraId="56FAE9DD" w14:textId="3A9BF91C" w:rsidR="00EE67DE" w:rsidRPr="00406747" w:rsidRDefault="00EE67DE" w:rsidP="00EE67DE">
      <w:pPr>
        <w:pStyle w:val="Caption"/>
        <w:jc w:val="center"/>
        <w:rPr>
          <w:lang w:val="en-US"/>
        </w:rPr>
      </w:pPr>
      <w:r w:rsidRPr="002C2877">
        <w:rPr>
          <w:lang w:val="en-US"/>
        </w:rPr>
        <w:t xml:space="preserve">Figure </w:t>
      </w:r>
      <w:r>
        <w:rPr>
          <w:lang w:val="en-US"/>
        </w:rPr>
        <w:t>1</w:t>
      </w:r>
      <w:r w:rsidRPr="00406747">
        <w:rPr>
          <w:lang w:val="en-US"/>
        </w:rPr>
        <w:t xml:space="preserve"> </w:t>
      </w:r>
      <w:r w:rsidR="00801042">
        <w:rPr>
          <w:lang w:val="en-US"/>
        </w:rPr>
        <w:t xml:space="preserve">– Primary </w:t>
      </w:r>
      <w:r w:rsidR="00B24C3D">
        <w:rPr>
          <w:lang w:val="en-US"/>
        </w:rPr>
        <w:t>sequence of the hGH</w:t>
      </w:r>
      <w:r w:rsidRPr="002C2877">
        <w:rPr>
          <w:lang w:val="en-US"/>
        </w:rPr>
        <w:t xml:space="preserve">. </w:t>
      </w:r>
      <w:r w:rsidR="00B24C3D" w:rsidRPr="00B24C3D">
        <w:rPr>
          <w:lang w:val="en-US"/>
        </w:rPr>
        <w:t>The labels T(digit) refer to the fragment after the cleavage at the blue amino acid. The red (T6) and green (T12) peptide fragments are proteospecific to the hGH</w:t>
      </w:r>
      <w:r>
        <w:rPr>
          <w:lang w:val="en-US"/>
        </w:rPr>
        <w:t>.</w:t>
      </w:r>
      <w:r w:rsidR="00B24C3D">
        <w:rPr>
          <w:lang w:val="en-US"/>
        </w:rPr>
        <w:t xml:space="preserve"> The glycosylation of the pituitary hGH is present on the</w:t>
      </w:r>
      <w:r w:rsidR="006C3E12">
        <w:rPr>
          <w:lang w:val="en-US"/>
        </w:rPr>
        <w:t xml:space="preserve"> peptide </w:t>
      </w:r>
      <w:r w:rsidR="00FD4BE5">
        <w:rPr>
          <w:lang w:val="en-US"/>
        </w:rPr>
        <w:t>T</w:t>
      </w:r>
      <w:r w:rsidR="00200C89">
        <w:rPr>
          <w:lang w:val="en-US"/>
        </w:rPr>
        <w:t xml:space="preserve">6 </w:t>
      </w:r>
      <w:r w:rsidR="00FD4BE5">
        <w:rPr>
          <w:lang w:val="en-US"/>
        </w:rPr>
        <w:t>(</w:t>
      </w:r>
      <w:r w:rsidR="006C3E12">
        <w:rPr>
          <w:lang w:val="en-US"/>
        </w:rPr>
        <w:t>violet circle)</w:t>
      </w:r>
      <w:r w:rsidR="00BD3D0F">
        <w:rPr>
          <w:lang w:val="en-US"/>
        </w:rPr>
        <w:t>.</w:t>
      </w:r>
    </w:p>
    <w:p w14:paraId="48B99645" w14:textId="793514D3" w:rsidR="005973B9" w:rsidRPr="009F0615" w:rsidRDefault="005973B9" w:rsidP="005973B9">
      <w:pPr>
        <w:spacing w:line="204" w:lineRule="exact"/>
        <w:rPr>
          <w:rFonts w:ascii="Arial"/>
          <w:b/>
          <w:sz w:val="20"/>
          <w:lang w:val="fr-FR"/>
        </w:rPr>
      </w:pPr>
      <w:r w:rsidRPr="009F0615">
        <w:rPr>
          <w:rFonts w:ascii="Arial"/>
          <w:b/>
          <w:color w:val="BF5A14"/>
          <w:sz w:val="20"/>
          <w:lang w:val="fr-FR"/>
        </w:rPr>
        <w:t>Recent Publications (minimum 5)</w:t>
      </w:r>
      <w:r w:rsidR="008B0A33" w:rsidRPr="008B0A33">
        <w:rPr>
          <w:rFonts w:ascii="Arial"/>
          <w:b/>
          <w:noProof/>
          <w:color w:val="BF5A14"/>
          <w:sz w:val="20"/>
          <w:lang w:val="fr-FR" w:eastAsia="fr-FR"/>
        </w:rPr>
        <w:t xml:space="preserve"> </w:t>
      </w:r>
    </w:p>
    <w:p w14:paraId="7A4BD410" w14:textId="628F92F6" w:rsidR="003D734A" w:rsidRPr="003D734A" w:rsidRDefault="00625A1A" w:rsidP="003D734A">
      <w:pPr>
        <w:autoSpaceDE w:val="0"/>
        <w:autoSpaceDN w:val="0"/>
        <w:adjustRightInd w:val="0"/>
        <w:spacing w:before="100" w:line="240" w:lineRule="exact"/>
        <w:ind w:left="480" w:hanging="480"/>
        <w:rPr>
          <w:rFonts w:ascii="Calibri" w:hAnsi="Calibri" w:cs="Times New Roman"/>
          <w:noProof/>
          <w:sz w:val="18"/>
          <w:szCs w:val="24"/>
        </w:rPr>
      </w:pPr>
      <w:r>
        <w:rPr>
          <w:rFonts w:ascii="Calibri" w:eastAsia="Calibri" w:hAnsi="Calibri" w:cs="Calibri"/>
          <w:sz w:val="18"/>
        </w:rPr>
        <w:fldChar w:fldCharType="begin" w:fldLock="1"/>
      </w:r>
      <w:r w:rsidRPr="00C52947">
        <w:rPr>
          <w:sz w:val="18"/>
        </w:rPr>
        <w:instrText xml:space="preserve">ADDIN Mendeley Bibliography CSL_BIBLIOGRAPHY </w:instrText>
      </w:r>
      <w:r>
        <w:rPr>
          <w:rFonts w:ascii="Calibri" w:eastAsia="Calibri" w:hAnsi="Calibri" w:cs="Calibri"/>
          <w:sz w:val="18"/>
        </w:rPr>
        <w:fldChar w:fldCharType="separate"/>
      </w:r>
      <w:r w:rsidR="003D734A" w:rsidRPr="003D734A">
        <w:rPr>
          <w:rFonts w:ascii="Calibri" w:hAnsi="Calibri" w:cs="Times New Roman"/>
          <w:noProof/>
          <w:sz w:val="18"/>
          <w:szCs w:val="24"/>
        </w:rPr>
        <w:t xml:space="preserve">Bidlingmaier, M., &amp; Strasburger, C. J. (2007). Growth hormone assays: Current methodologies and their limitations. </w:t>
      </w:r>
      <w:r w:rsidR="003D734A" w:rsidRPr="003D734A">
        <w:rPr>
          <w:rFonts w:ascii="Calibri" w:hAnsi="Calibri" w:cs="Times New Roman"/>
          <w:i/>
          <w:iCs/>
          <w:noProof/>
          <w:sz w:val="18"/>
          <w:szCs w:val="24"/>
        </w:rPr>
        <w:t>Pituitary</w:t>
      </w:r>
      <w:r w:rsidR="003D734A" w:rsidRPr="003D734A">
        <w:rPr>
          <w:rFonts w:ascii="Calibri" w:hAnsi="Calibri" w:cs="Times New Roman"/>
          <w:noProof/>
          <w:sz w:val="18"/>
          <w:szCs w:val="24"/>
        </w:rPr>
        <w:t xml:space="preserve">, </w:t>
      </w:r>
      <w:r w:rsidR="003D734A" w:rsidRPr="003D734A">
        <w:rPr>
          <w:rFonts w:ascii="Calibri" w:hAnsi="Calibri" w:cs="Times New Roman"/>
          <w:i/>
          <w:iCs/>
          <w:noProof/>
          <w:sz w:val="18"/>
          <w:szCs w:val="24"/>
        </w:rPr>
        <w:t>10</w:t>
      </w:r>
      <w:r w:rsidR="003D734A" w:rsidRPr="003D734A">
        <w:rPr>
          <w:rFonts w:ascii="Calibri" w:hAnsi="Calibri" w:cs="Times New Roman"/>
          <w:noProof/>
          <w:sz w:val="18"/>
          <w:szCs w:val="24"/>
        </w:rPr>
        <w:t>(2), 115–119. https://doi.org/10.1007/s11102-007-0030-1</w:t>
      </w:r>
    </w:p>
    <w:p w14:paraId="4A135423" w14:textId="77777777" w:rsidR="003D734A" w:rsidRPr="003D734A" w:rsidRDefault="003D734A" w:rsidP="003D734A">
      <w:pPr>
        <w:autoSpaceDE w:val="0"/>
        <w:autoSpaceDN w:val="0"/>
        <w:adjustRightInd w:val="0"/>
        <w:spacing w:before="100" w:line="240" w:lineRule="exact"/>
        <w:ind w:left="480" w:hanging="480"/>
        <w:rPr>
          <w:rFonts w:ascii="Calibri" w:hAnsi="Calibri"/>
          <w:noProof/>
          <w:sz w:val="18"/>
        </w:rPr>
      </w:pPr>
      <w:r w:rsidRPr="003D734A">
        <w:rPr>
          <w:rFonts w:ascii="Calibri" w:hAnsi="Calibri" w:cs="Times New Roman"/>
          <w:noProof/>
          <w:sz w:val="18"/>
          <w:szCs w:val="24"/>
        </w:rPr>
        <w:t xml:space="preserve">Bidlingmaier, M., Suhr, J., Ernst, A., Wu, Z., Keller, A., Strasburger, C. J., &amp; Bergmann, A. (2009). High-Sensitivity Chemiluminescence Immunoassays for Detection of Growth Hormone Doping in Sports METHODS :, </w:t>
      </w:r>
      <w:r w:rsidRPr="003D734A">
        <w:rPr>
          <w:rFonts w:ascii="Calibri" w:hAnsi="Calibri" w:cs="Times New Roman"/>
          <w:i/>
          <w:iCs/>
          <w:noProof/>
          <w:sz w:val="18"/>
          <w:szCs w:val="24"/>
        </w:rPr>
        <w:t>453</w:t>
      </w:r>
      <w:r w:rsidRPr="003D734A">
        <w:rPr>
          <w:rFonts w:ascii="Calibri" w:hAnsi="Calibri" w:cs="Times New Roman"/>
          <w:noProof/>
          <w:sz w:val="18"/>
          <w:szCs w:val="24"/>
        </w:rPr>
        <w:t>, 445–453. https://doi.org/10.1373/clinchem.2008.112458</w:t>
      </w:r>
    </w:p>
    <w:p w14:paraId="775E502C" w14:textId="77777777" w:rsidR="005973B9" w:rsidRDefault="00625A1A" w:rsidP="00625A1A">
      <w:r>
        <w:fldChar w:fldCharType="end"/>
      </w:r>
    </w:p>
    <w:bookmarkStart w:id="0" w:name="_GoBack"/>
    <w:p w14:paraId="140CB5B5" w14:textId="77777777" w:rsidR="009922A4" w:rsidRPr="00802599" w:rsidRDefault="009922A4" w:rsidP="00172CD7">
      <w:pPr>
        <w:autoSpaceDE w:val="0"/>
        <w:autoSpaceDN w:val="0"/>
        <w:adjustRightInd w:val="0"/>
        <w:spacing w:before="100" w:line="240" w:lineRule="exact"/>
        <w:rPr>
          <w:rFonts w:ascii="Calibri" w:hAnsi="Calibri" w:cs="Times New Roman"/>
          <w:noProof/>
          <w:sz w:val="18"/>
          <w:szCs w:val="24"/>
        </w:rPr>
      </w:pPr>
      <w:r w:rsidRPr="00802599">
        <w:rPr>
          <w:rFonts w:ascii="Calibri" w:hAnsi="Calibri" w:cs="Times New Roman"/>
          <w:noProof/>
          <w:sz w:val="18"/>
          <w:szCs w:val="24"/>
        </w:rPr>
        <w:fldChar w:fldCharType="begin" w:fldLock="1"/>
      </w:r>
      <w:r w:rsidRPr="00802599">
        <w:rPr>
          <w:rFonts w:ascii="Calibri" w:hAnsi="Calibri" w:cs="Times New Roman"/>
          <w:noProof/>
          <w:sz w:val="18"/>
          <w:szCs w:val="24"/>
        </w:rPr>
        <w:instrText xml:space="preserve">ADDIN Mendeley Bibliography CSL_BIBLIOGRAPHY </w:instrText>
      </w:r>
      <w:r w:rsidRPr="00802599">
        <w:rPr>
          <w:rFonts w:ascii="Calibri" w:hAnsi="Calibri" w:cs="Times New Roman"/>
          <w:noProof/>
          <w:sz w:val="18"/>
          <w:szCs w:val="24"/>
        </w:rPr>
        <w:fldChar w:fldCharType="separate"/>
      </w:r>
      <w:r w:rsidRPr="00802599">
        <w:rPr>
          <w:rFonts w:ascii="Calibri" w:hAnsi="Calibri" w:cs="Times New Roman"/>
          <w:noProof/>
          <w:sz w:val="18"/>
          <w:szCs w:val="24"/>
        </w:rPr>
        <w:t>Baumann, G. P. (2012). Growth Hormone Doping in Sports: A Critical Review of Use and Detection Strategies. Endocrine Reviews, 33(2), 155–186. https://doi.org/10.1210/er.2011-1035</w:t>
      </w:r>
    </w:p>
    <w:p w14:paraId="46A38E16" w14:textId="77777777" w:rsidR="009922A4" w:rsidRPr="00802599" w:rsidRDefault="009922A4" w:rsidP="00172CD7">
      <w:pPr>
        <w:autoSpaceDE w:val="0"/>
        <w:autoSpaceDN w:val="0"/>
        <w:adjustRightInd w:val="0"/>
        <w:spacing w:before="100" w:line="240" w:lineRule="exact"/>
        <w:rPr>
          <w:rFonts w:ascii="Calibri" w:hAnsi="Calibri" w:cs="Times New Roman"/>
          <w:noProof/>
          <w:sz w:val="18"/>
          <w:szCs w:val="24"/>
        </w:rPr>
      </w:pPr>
      <w:r w:rsidRPr="00802599">
        <w:rPr>
          <w:rFonts w:ascii="Calibri" w:hAnsi="Calibri" w:cs="Times New Roman"/>
          <w:noProof/>
          <w:sz w:val="18"/>
          <w:szCs w:val="24"/>
        </w:rPr>
        <w:t>Geffner, M., &amp; Southern Reh, M. E. (2010). Somatotropin in the treatment of growth hormone deficiency and Turner syndrome in pediatric patients: a review. Clinical Pharmacology: Advances and Applications, 2, 111. https://doi.org/10.2147/CPAA.S6525</w:t>
      </w:r>
    </w:p>
    <w:p w14:paraId="0B8EB7B7" w14:textId="77777777" w:rsidR="009922A4" w:rsidRPr="00802599" w:rsidRDefault="009922A4" w:rsidP="00172CD7">
      <w:pPr>
        <w:autoSpaceDE w:val="0"/>
        <w:autoSpaceDN w:val="0"/>
        <w:adjustRightInd w:val="0"/>
        <w:spacing w:before="100" w:line="240" w:lineRule="exact"/>
        <w:rPr>
          <w:rFonts w:ascii="Calibri" w:hAnsi="Calibri" w:cs="Times New Roman"/>
          <w:noProof/>
          <w:sz w:val="18"/>
          <w:szCs w:val="24"/>
        </w:rPr>
      </w:pPr>
      <w:r w:rsidRPr="00802599">
        <w:rPr>
          <w:rFonts w:ascii="Calibri" w:hAnsi="Calibri" w:cs="Times New Roman"/>
          <w:noProof/>
          <w:sz w:val="18"/>
          <w:szCs w:val="24"/>
        </w:rPr>
        <w:t>Haro, L. S., Lewis, U. J., Garcia, M., Bustamante, J., Martinez, A. O., &amp; Ling, N. C. (1996). Glycosylated Human Growth Hormone (hGH): A Novel 24 kDa hGH-N Variant. Biochemical and Biophysical Research Communications, 228(2), 549–556. https://doi.org/10.1006/bbrc.1996.1697</w:t>
      </w:r>
    </w:p>
    <w:p w14:paraId="7D2A9329" w14:textId="77777777" w:rsidR="009922A4" w:rsidRPr="00802599" w:rsidRDefault="009922A4" w:rsidP="00172CD7">
      <w:pPr>
        <w:autoSpaceDE w:val="0"/>
        <w:autoSpaceDN w:val="0"/>
        <w:adjustRightInd w:val="0"/>
        <w:spacing w:before="100" w:line="240" w:lineRule="exact"/>
        <w:rPr>
          <w:rFonts w:ascii="Calibri" w:hAnsi="Calibri" w:cs="Times New Roman"/>
          <w:noProof/>
          <w:sz w:val="18"/>
          <w:szCs w:val="24"/>
        </w:rPr>
      </w:pPr>
      <w:r w:rsidRPr="00802599">
        <w:rPr>
          <w:rFonts w:ascii="Calibri" w:hAnsi="Calibri" w:cs="Times New Roman"/>
          <w:noProof/>
          <w:sz w:val="18"/>
          <w:szCs w:val="24"/>
        </w:rPr>
        <w:t>Jensen, E. B., &amp; Carlsen, S. (1990). Production of recombinant human growth hormone inEscherichia coli: Expression of different precursors and physiological effects of glucose, acetate, and salts. Biotechnology and Bioengineering, 36(1), 1–11. https://doi.org/10.1002/bit.260360102</w:t>
      </w:r>
    </w:p>
    <w:p w14:paraId="655C8820" w14:textId="77777777" w:rsidR="009922A4" w:rsidRPr="00802599" w:rsidRDefault="009922A4" w:rsidP="00172CD7">
      <w:pPr>
        <w:autoSpaceDE w:val="0"/>
        <w:autoSpaceDN w:val="0"/>
        <w:adjustRightInd w:val="0"/>
        <w:spacing w:before="100" w:line="240" w:lineRule="exact"/>
        <w:rPr>
          <w:rFonts w:ascii="Calibri" w:hAnsi="Calibri" w:cs="Times New Roman"/>
          <w:noProof/>
          <w:sz w:val="18"/>
          <w:szCs w:val="24"/>
        </w:rPr>
      </w:pPr>
      <w:r w:rsidRPr="00802599">
        <w:rPr>
          <w:rFonts w:ascii="Calibri" w:hAnsi="Calibri" w:cs="Times New Roman"/>
          <w:noProof/>
          <w:sz w:val="18"/>
          <w:szCs w:val="24"/>
        </w:rPr>
        <w:lastRenderedPageBreak/>
        <w:t>Such-Sanmartín, G., Bache, N., Bosch, J., Gutiérrez-Gallego, R., Segura, J., &amp; Jensen, O. N. (2015). Detection and differentiation of 22 kDa and 20 kDa Growth Hormone proteoforms in human plasma by LC-MS/MS. Biochimica et Biophysica Acta - Proteins and Proteomics, 1854(4), 284–</w:t>
      </w:r>
      <w:r w:rsidRPr="00802599">
        <w:rPr>
          <w:rFonts w:ascii="Calibri" w:hAnsi="Calibri" w:cs="Times New Roman"/>
          <w:noProof/>
          <w:sz w:val="18"/>
          <w:szCs w:val="24"/>
        </w:rPr>
        <w:lastRenderedPageBreak/>
        <w:t>290. https://doi.org/10.1016/j.bbapap.2014.12.022</w:t>
      </w:r>
    </w:p>
    <w:p w14:paraId="548D02B2" w14:textId="29DF13C2" w:rsidR="006833E4" w:rsidRDefault="009922A4" w:rsidP="009922A4">
      <w:r w:rsidRPr="00802599">
        <w:rPr>
          <w:rFonts w:ascii="Calibri" w:hAnsi="Calibri" w:cs="Times New Roman"/>
          <w:noProof/>
          <w:sz w:val="18"/>
          <w:szCs w:val="24"/>
        </w:rPr>
        <w:fldChar w:fldCharType="end"/>
      </w:r>
      <w:bookmarkEnd w:id="0"/>
    </w:p>
    <w:p w14:paraId="7836AE7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4D08052" w14:textId="77777777" w:rsidR="00AE3E37" w:rsidRDefault="00AE3E37">
      <w:pPr>
        <w:pStyle w:val="BodyText"/>
        <w:rPr>
          <w:rFonts w:ascii="Calibri"/>
          <w:sz w:val="20"/>
        </w:rPr>
      </w:pPr>
    </w:p>
    <w:p w14:paraId="2DD7A953"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44980BC" wp14:editId="32DC74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33F4CD2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5879F55" w14:textId="77777777"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4E77DC64" wp14:editId="674EBEB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EF852F9" w14:textId="73C712A5" w:rsidR="00AE3E37" w:rsidRDefault="00AA10C7" w:rsidP="002932AD">
      <w:pPr>
        <w:spacing w:before="41" w:line="154" w:lineRule="exact"/>
        <w:ind w:left="213" w:right="231"/>
        <w:jc w:val="both"/>
        <w:rPr>
          <w:rFonts w:ascii="Arial"/>
          <w:sz w:val="14"/>
        </w:rPr>
      </w:pPr>
      <w:r w:rsidRPr="00163238">
        <w:rPr>
          <w:rFonts w:ascii="Arial"/>
          <w:sz w:val="14"/>
        </w:rPr>
        <w:t>Hala Dadi is a</w:t>
      </w:r>
      <w:r w:rsidR="00737492" w:rsidRPr="00163238">
        <w:rPr>
          <w:rFonts w:ascii="Arial"/>
          <w:sz w:val="14"/>
        </w:rPr>
        <w:t xml:space="preserve"> Ph.D.</w:t>
      </w:r>
      <w:r w:rsidRPr="00163238">
        <w:rPr>
          <w:rFonts w:ascii="Arial"/>
          <w:sz w:val="14"/>
        </w:rPr>
        <w:t xml:space="preserve"> student at</w:t>
      </w:r>
      <w:r w:rsidR="00737492" w:rsidRPr="00163238">
        <w:rPr>
          <w:rFonts w:ascii="Arial"/>
          <w:sz w:val="14"/>
        </w:rPr>
        <w:t xml:space="preserve"> the La</w:t>
      </w:r>
      <w:r w:rsidR="00163238" w:rsidRPr="00163238">
        <w:rPr>
          <w:rFonts w:ascii="Arial"/>
          <w:sz w:val="14"/>
        </w:rPr>
        <w:t>boratoire de Chimie P</w:t>
      </w:r>
      <w:r w:rsidRPr="00163238">
        <w:rPr>
          <w:rFonts w:ascii="Arial"/>
          <w:sz w:val="14"/>
        </w:rPr>
        <w:t>hysique (</w:t>
      </w:r>
      <w:r w:rsidR="00163238">
        <w:rPr>
          <w:rFonts w:ascii="Arial"/>
          <w:sz w:val="14"/>
        </w:rPr>
        <w:t xml:space="preserve">CNRS UMR 8000, </w:t>
      </w:r>
      <w:r w:rsidR="00737492" w:rsidRPr="00163238">
        <w:rPr>
          <w:rFonts w:ascii="Arial"/>
          <w:sz w:val="14"/>
        </w:rPr>
        <w:t>Universit</w:t>
      </w:r>
      <w:r w:rsidR="00163238" w:rsidRPr="00163238">
        <w:rPr>
          <w:rFonts w:ascii="Arial"/>
          <w:sz w:val="14"/>
        </w:rPr>
        <w:t>e Paris-S</w:t>
      </w:r>
      <w:r w:rsidR="00737492" w:rsidRPr="00163238">
        <w:rPr>
          <w:rFonts w:ascii="Arial"/>
          <w:sz w:val="14"/>
        </w:rPr>
        <w:t>ud</w:t>
      </w:r>
      <w:r w:rsidR="00163238" w:rsidRPr="00163238">
        <w:rPr>
          <w:rFonts w:ascii="Arial"/>
          <w:sz w:val="14"/>
        </w:rPr>
        <w:t>/Universite Paris-Saclay</w:t>
      </w:r>
      <w:r w:rsidR="00737492" w:rsidRPr="00163238">
        <w:rPr>
          <w:rFonts w:ascii="Arial"/>
          <w:sz w:val="14"/>
        </w:rPr>
        <w:t xml:space="preserve">, </w:t>
      </w:r>
      <w:r w:rsidRPr="00163238">
        <w:rPr>
          <w:rFonts w:ascii="Arial"/>
          <w:sz w:val="14"/>
        </w:rPr>
        <w:t>France)</w:t>
      </w:r>
      <w:r w:rsidR="002932AD" w:rsidRPr="00163238">
        <w:rPr>
          <w:rFonts w:ascii="Arial"/>
          <w:sz w:val="14"/>
        </w:rPr>
        <w:t xml:space="preserve">. </w:t>
      </w:r>
      <w:r w:rsidR="002932AD">
        <w:rPr>
          <w:rFonts w:ascii="Arial"/>
          <w:sz w:val="14"/>
        </w:rPr>
        <w:t>Hala</w:t>
      </w:r>
      <w:r w:rsidR="002932AD" w:rsidRPr="002932AD">
        <w:rPr>
          <w:rFonts w:ascii="Arial"/>
          <w:sz w:val="14"/>
        </w:rPr>
        <w:t xml:space="preserve"> graduated with a B</w:t>
      </w:r>
      <w:r w:rsidR="002932AD">
        <w:rPr>
          <w:rFonts w:ascii="Arial"/>
          <w:sz w:val="14"/>
        </w:rPr>
        <w:t>.Sc. Biochemistry in 2013</w:t>
      </w:r>
      <w:r w:rsidR="002932AD" w:rsidRPr="002932AD">
        <w:rPr>
          <w:rFonts w:ascii="Arial"/>
          <w:sz w:val="14"/>
        </w:rPr>
        <w:t xml:space="preserve">. After </w:t>
      </w:r>
      <w:r w:rsidR="002932AD">
        <w:rPr>
          <w:rFonts w:ascii="Arial"/>
          <w:sz w:val="14"/>
        </w:rPr>
        <w:t>graduation, Hala</w:t>
      </w:r>
      <w:r w:rsidR="002932AD" w:rsidRPr="002932AD">
        <w:rPr>
          <w:rFonts w:ascii="Arial"/>
          <w:sz w:val="14"/>
        </w:rPr>
        <w:t xml:space="preserve"> </w:t>
      </w:r>
      <w:r w:rsidR="00584969">
        <w:rPr>
          <w:rFonts w:ascii="Arial"/>
          <w:sz w:val="14"/>
        </w:rPr>
        <w:t xml:space="preserve">has also </w:t>
      </w:r>
      <w:r w:rsidR="002932AD">
        <w:rPr>
          <w:rFonts w:ascii="Arial"/>
          <w:sz w:val="14"/>
        </w:rPr>
        <w:t>a master</w:t>
      </w:r>
      <w:r w:rsidR="002932AD">
        <w:rPr>
          <w:rFonts w:ascii="Arial"/>
          <w:sz w:val="14"/>
        </w:rPr>
        <w:t>’</w:t>
      </w:r>
      <w:r w:rsidR="002932AD">
        <w:rPr>
          <w:rFonts w:ascii="Arial"/>
          <w:sz w:val="14"/>
        </w:rPr>
        <w:t>s degree in Structural</w:t>
      </w:r>
      <w:r w:rsidR="00584969">
        <w:rPr>
          <w:rFonts w:ascii="Arial"/>
          <w:sz w:val="14"/>
        </w:rPr>
        <w:t xml:space="preserve"> and functional biochemistry (</w:t>
      </w:r>
      <w:r w:rsidR="002932AD">
        <w:rPr>
          <w:rFonts w:ascii="Arial"/>
          <w:sz w:val="14"/>
        </w:rPr>
        <w:t>Pierre et Marie Curie university</w:t>
      </w:r>
      <w:r w:rsidR="00584969">
        <w:rPr>
          <w:rFonts w:ascii="Arial"/>
          <w:sz w:val="14"/>
        </w:rPr>
        <w:t>, Paris, France)</w:t>
      </w:r>
      <w:r w:rsidR="00F00FD3">
        <w:rPr>
          <w:rFonts w:ascii="Arial"/>
          <w:sz w:val="14"/>
        </w:rPr>
        <w:t>.</w:t>
      </w:r>
      <w:r w:rsidR="002932AD">
        <w:rPr>
          <w:rFonts w:ascii="Arial"/>
          <w:sz w:val="14"/>
        </w:rPr>
        <w:t xml:space="preserve"> In 2015, Hala started her pH.D. in analytical c</w:t>
      </w:r>
      <w:r w:rsidR="000162AE">
        <w:rPr>
          <w:rFonts w:ascii="Arial"/>
          <w:sz w:val="14"/>
        </w:rPr>
        <w:t xml:space="preserve">hemistry. </w:t>
      </w:r>
      <w:r w:rsidR="001D5B24">
        <w:rPr>
          <w:rFonts w:ascii="Arial"/>
          <w:sz w:val="14"/>
        </w:rPr>
        <w:t>B</w:t>
      </w:r>
      <w:r w:rsidR="002932AD">
        <w:rPr>
          <w:rFonts w:ascii="Arial"/>
          <w:sz w:val="14"/>
        </w:rPr>
        <w:t>ioanalysis</w:t>
      </w:r>
      <w:r w:rsidR="001D5B24">
        <w:rPr>
          <w:rFonts w:ascii="Arial"/>
          <w:sz w:val="14"/>
        </w:rPr>
        <w:t xml:space="preserve"> by mass spectrometry coupled to other analytical techniques is the main </w:t>
      </w:r>
      <w:r w:rsidR="002932AD">
        <w:rPr>
          <w:rFonts w:ascii="Arial"/>
          <w:sz w:val="14"/>
        </w:rPr>
        <w:t>of her work</w:t>
      </w:r>
      <w:r w:rsidR="002932AD" w:rsidRPr="002932AD">
        <w:rPr>
          <w:rFonts w:ascii="Arial"/>
          <w:sz w:val="14"/>
        </w:rPr>
        <w:t>.</w:t>
      </w:r>
    </w:p>
    <w:p w14:paraId="0A469EC6" w14:textId="396D816E" w:rsidR="00AE3E37" w:rsidRPr="006833E4" w:rsidRDefault="00A9710C" w:rsidP="006833E4">
      <w:pPr>
        <w:spacing w:before="62"/>
        <w:ind w:left="4217" w:right="4235"/>
        <w:jc w:val="center"/>
        <w:rPr>
          <w:rFonts w:ascii="Arial"/>
          <w:sz w:val="14"/>
        </w:rPr>
        <w:sectPr w:rsidR="00AE3E37" w:rsidRPr="006833E4">
          <w:type w:val="continuous"/>
          <w:pgSz w:w="11910" w:h="16840"/>
          <w:pgMar w:top="1740" w:right="600" w:bottom="840" w:left="620" w:header="720" w:footer="720" w:gutter="0"/>
          <w:cols w:space="720"/>
        </w:sectPr>
      </w:pPr>
      <w:r>
        <w:rPr>
          <w:rFonts w:ascii="Arial"/>
          <w:sz w:val="14"/>
        </w:rPr>
        <w:t xml:space="preserve">Email: </w:t>
      </w:r>
      <w:r w:rsidR="00965FE2">
        <w:rPr>
          <w:rFonts w:ascii="Arial"/>
          <w:sz w:val="14"/>
        </w:rPr>
        <w:t>hala.dadi</w:t>
      </w:r>
      <w:r w:rsidR="00965FE2" w:rsidRPr="00965FE2">
        <w:rPr>
          <w:rFonts w:ascii="Arial"/>
          <w:sz w:val="14"/>
        </w:rPr>
        <w:t>@u-psud</w:t>
      </w:r>
      <w:r w:rsidR="006833E4">
        <w:rPr>
          <w:rFonts w:ascii="Arial"/>
          <w:sz w:val="14"/>
        </w:rPr>
        <w:t>.fr</w:t>
      </w:r>
    </w:p>
    <w:p w14:paraId="5245BD50" w14:textId="13720035" w:rsidR="00AE3E37" w:rsidRDefault="00AE3E37" w:rsidP="00FA70A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AFD13E" w14:textId="77777777" w:rsidR="00077759" w:rsidRDefault="00077759">
      <w:r>
        <w:separator/>
      </w:r>
    </w:p>
  </w:endnote>
  <w:endnote w:type="continuationSeparator" w:id="0">
    <w:p w14:paraId="4DC73815" w14:textId="77777777" w:rsidR="00077759" w:rsidRDefault="00077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6B4C5"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59776" behindDoc="1" locked="0" layoutInCell="1" allowOverlap="1" wp14:anchorId="5ACC3099" wp14:editId="667152E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18D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85BD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C3099" id="_x0000_t202" coordsize="21600,21600" o:spt="202" path="m0,0l0,21600,21600,21600,21600,0xe">
              <v:stroke joinstyle="miter"/>
              <v:path gradientshapeok="t" o:connecttype="rect"/>
            </v:shapetype>
            <v:shape id="Text_x0020_Box_x0020_3" o:spid="_x0000_s1032"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5B18D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85BD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4896" behindDoc="1" locked="0" layoutInCell="1" allowOverlap="1" wp14:anchorId="2486EC72" wp14:editId="67299A8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903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77F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6EC72" id="Text_x0020_Box_x0020_2" o:spid="_x0000_s1033"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21903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77F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70016" behindDoc="1" locked="0" layoutInCell="1" allowOverlap="1" wp14:anchorId="421AAB20" wp14:editId="1423C2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74F4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F94C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AAB20" id="Text_x0020_Box_x0020_1" o:spid="_x0000_s1034"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7874F4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F94C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E5870" w14:textId="77777777" w:rsidR="00077759" w:rsidRDefault="00077759">
      <w:r>
        <w:separator/>
      </w:r>
    </w:p>
  </w:footnote>
  <w:footnote w:type="continuationSeparator" w:id="0">
    <w:p w14:paraId="51C337EB" w14:textId="77777777" w:rsidR="00077759" w:rsidRDefault="000777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4B25B"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49536" behindDoc="1" locked="0" layoutInCell="1" allowOverlap="1" wp14:anchorId="2035968F" wp14:editId="42DDB70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17EA7" w14:textId="77777777" w:rsidR="00AE3E37" w:rsidRPr="00AA63A1" w:rsidRDefault="00A9710C">
                          <w:pPr>
                            <w:spacing w:before="2" w:line="249" w:lineRule="auto"/>
                            <w:ind w:left="156" w:right="18" w:hanging="137"/>
                            <w:rPr>
                              <w:rFonts w:ascii="Arial"/>
                              <w:color w:val="FFFFFF" w:themeColor="background1"/>
                              <w:sz w:val="14"/>
                              <w:lang w:val="fr-FR"/>
                            </w:rPr>
                          </w:pPr>
                          <w:r w:rsidRPr="00AA63A1">
                            <w:rPr>
                              <w:rFonts w:ascii="Arial"/>
                              <w:color w:val="FFFFFF" w:themeColor="background1"/>
                              <w:sz w:val="14"/>
                              <w:lang w:val="fr-FR"/>
                            </w:rPr>
                            <w:t xml:space="preserve">T Furuta et al., J Pai n Relief 2016, 5:3(Suppl) </w:t>
                          </w:r>
                          <w:hyperlink r:id="rId1">
                            <w:r w:rsidRPr="00AA63A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5968F" id="_x0000_t202" coordsize="21600,21600" o:spt="202" path="m0,0l0,21600,21600,21600,21600,0xe">
              <v:stroke joinstyle="miter"/>
              <v:path gradientshapeok="t" o:connecttype="rect"/>
            </v:shapetype>
            <v:shape id="Text_x0020_Box_x0020_5" o:spid="_x0000_s1030"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AE17EA7" w14:textId="77777777" w:rsidR="00AE3E37" w:rsidRPr="00AA63A1" w:rsidRDefault="00A9710C">
                    <w:pPr>
                      <w:spacing w:before="2" w:line="249" w:lineRule="auto"/>
                      <w:ind w:left="156" w:right="18" w:hanging="137"/>
                      <w:rPr>
                        <w:rFonts w:ascii="Arial"/>
                        <w:color w:val="FFFFFF" w:themeColor="background1"/>
                        <w:sz w:val="14"/>
                        <w:lang w:val="fr-FR"/>
                      </w:rPr>
                    </w:pPr>
                    <w:r w:rsidRPr="00AA63A1">
                      <w:rPr>
                        <w:rFonts w:ascii="Arial"/>
                        <w:color w:val="FFFFFF" w:themeColor="background1"/>
                        <w:sz w:val="14"/>
                        <w:lang w:val="fr-FR"/>
                      </w:rPr>
                      <w:t xml:space="preserve">T Furuta et al., J Pai n Relief 2016, 5:3(Suppl) </w:t>
                    </w:r>
                    <w:hyperlink r:id="rId2">
                      <w:r w:rsidRPr="00AA63A1">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4656" behindDoc="1" locked="0" layoutInCell="1" allowOverlap="1" wp14:anchorId="4EC36188" wp14:editId="38817E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CF40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BB2F3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36188" id="Text_x0020_Box_x0020_4" o:spid="_x0000_s1031"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ECCF40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BB2F3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59453C3"/>
    <w:multiLevelType w:val="hybridMultilevel"/>
    <w:tmpl w:val="7A7AFF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4"/>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4778"/>
    <w:rsid w:val="0001317C"/>
    <w:rsid w:val="000162AE"/>
    <w:rsid w:val="00077759"/>
    <w:rsid w:val="000E2911"/>
    <w:rsid w:val="000F3AD5"/>
    <w:rsid w:val="00126036"/>
    <w:rsid w:val="001263DF"/>
    <w:rsid w:val="00146E11"/>
    <w:rsid w:val="00163238"/>
    <w:rsid w:val="00172CD7"/>
    <w:rsid w:val="001D1966"/>
    <w:rsid w:val="001D5B24"/>
    <w:rsid w:val="00200C89"/>
    <w:rsid w:val="002565DF"/>
    <w:rsid w:val="002756DF"/>
    <w:rsid w:val="00292ED9"/>
    <w:rsid w:val="002932AD"/>
    <w:rsid w:val="003037FC"/>
    <w:rsid w:val="00331441"/>
    <w:rsid w:val="00361DF6"/>
    <w:rsid w:val="00374841"/>
    <w:rsid w:val="003A07D0"/>
    <w:rsid w:val="003C0782"/>
    <w:rsid w:val="003D734A"/>
    <w:rsid w:val="00404E5B"/>
    <w:rsid w:val="00414F7B"/>
    <w:rsid w:val="004355DC"/>
    <w:rsid w:val="00444AAD"/>
    <w:rsid w:val="004749B4"/>
    <w:rsid w:val="00494130"/>
    <w:rsid w:val="004F3523"/>
    <w:rsid w:val="00536BFB"/>
    <w:rsid w:val="00572AAE"/>
    <w:rsid w:val="00584969"/>
    <w:rsid w:val="00585655"/>
    <w:rsid w:val="005973B9"/>
    <w:rsid w:val="005B07B8"/>
    <w:rsid w:val="005B3A56"/>
    <w:rsid w:val="005D4B89"/>
    <w:rsid w:val="006060CE"/>
    <w:rsid w:val="00625A1A"/>
    <w:rsid w:val="0063497F"/>
    <w:rsid w:val="006833E4"/>
    <w:rsid w:val="006A2807"/>
    <w:rsid w:val="006C3E12"/>
    <w:rsid w:val="006D0940"/>
    <w:rsid w:val="006F473E"/>
    <w:rsid w:val="006F65B7"/>
    <w:rsid w:val="006F7AD9"/>
    <w:rsid w:val="00737492"/>
    <w:rsid w:val="00746402"/>
    <w:rsid w:val="007A5CF1"/>
    <w:rsid w:val="00801042"/>
    <w:rsid w:val="00802599"/>
    <w:rsid w:val="00873DF0"/>
    <w:rsid w:val="008756E6"/>
    <w:rsid w:val="00883A94"/>
    <w:rsid w:val="008B0A33"/>
    <w:rsid w:val="008C1B66"/>
    <w:rsid w:val="008F73F7"/>
    <w:rsid w:val="00965FE2"/>
    <w:rsid w:val="00983946"/>
    <w:rsid w:val="009922A4"/>
    <w:rsid w:val="009B2D44"/>
    <w:rsid w:val="009F0615"/>
    <w:rsid w:val="009F4E06"/>
    <w:rsid w:val="00A07E82"/>
    <w:rsid w:val="00A4184B"/>
    <w:rsid w:val="00A50FDC"/>
    <w:rsid w:val="00A94973"/>
    <w:rsid w:val="00A9710C"/>
    <w:rsid w:val="00AA10C7"/>
    <w:rsid w:val="00AA359B"/>
    <w:rsid w:val="00AA63A1"/>
    <w:rsid w:val="00AB0348"/>
    <w:rsid w:val="00AE3E37"/>
    <w:rsid w:val="00B06EE4"/>
    <w:rsid w:val="00B21A57"/>
    <w:rsid w:val="00B24C3D"/>
    <w:rsid w:val="00B959B7"/>
    <w:rsid w:val="00BD3D0F"/>
    <w:rsid w:val="00C33602"/>
    <w:rsid w:val="00C52947"/>
    <w:rsid w:val="00C54938"/>
    <w:rsid w:val="00CA1FBC"/>
    <w:rsid w:val="00CA6F1E"/>
    <w:rsid w:val="00CD1EFE"/>
    <w:rsid w:val="00CD6F55"/>
    <w:rsid w:val="00D46ABF"/>
    <w:rsid w:val="00D8535E"/>
    <w:rsid w:val="00D93FDE"/>
    <w:rsid w:val="00D95162"/>
    <w:rsid w:val="00DB03A9"/>
    <w:rsid w:val="00DE3104"/>
    <w:rsid w:val="00E50C74"/>
    <w:rsid w:val="00E55402"/>
    <w:rsid w:val="00E737BC"/>
    <w:rsid w:val="00EE67DE"/>
    <w:rsid w:val="00F00FD3"/>
    <w:rsid w:val="00F116C3"/>
    <w:rsid w:val="00F70BFF"/>
    <w:rsid w:val="00F72EEA"/>
    <w:rsid w:val="00F84CAE"/>
    <w:rsid w:val="00FA70A8"/>
    <w:rsid w:val="00FC50A9"/>
    <w:rsid w:val="00FD4B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E4EDB"/>
  <w15:docId w15:val="{A1698F48-AA75-4D75-B372-9A7CE3B9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Body">
    <w:name w:val="Text Body"/>
    <w:basedOn w:val="Normal"/>
    <w:rsid w:val="00AA63A1"/>
    <w:pPr>
      <w:suppressAutoHyphens/>
      <w:spacing w:after="140" w:line="288" w:lineRule="auto"/>
    </w:pPr>
    <w:rPr>
      <w:rFonts w:ascii="Liberation Serif" w:eastAsia="Droid Sans Fallback" w:hAnsi="Liberation Serif" w:cs="FreeSans"/>
      <w:sz w:val="24"/>
      <w:szCs w:val="24"/>
      <w:lang w:eastAsia="zh-CN" w:bidi="hi-IN"/>
    </w:rPr>
  </w:style>
  <w:style w:type="character" w:customStyle="1" w:styleId="affiliationname">
    <w:name w:val="affiliation__name"/>
    <w:basedOn w:val="DefaultParagraphFont"/>
    <w:rsid w:val="00965FE2"/>
  </w:style>
  <w:style w:type="character" w:customStyle="1" w:styleId="affiliationcity">
    <w:name w:val="affiliation__city"/>
    <w:basedOn w:val="DefaultParagraphFont"/>
    <w:rsid w:val="00965FE2"/>
  </w:style>
  <w:style w:type="character" w:customStyle="1" w:styleId="affiliationcountry">
    <w:name w:val="affiliation__country"/>
    <w:basedOn w:val="DefaultParagraphFont"/>
    <w:rsid w:val="00965FE2"/>
  </w:style>
  <w:style w:type="paragraph" w:styleId="Caption">
    <w:name w:val="caption"/>
    <w:basedOn w:val="Normal"/>
    <w:next w:val="Normal"/>
    <w:uiPriority w:val="35"/>
    <w:unhideWhenUsed/>
    <w:qFormat/>
    <w:rsid w:val="00EE67DE"/>
    <w:pPr>
      <w:widowControl/>
      <w:spacing w:after="200"/>
    </w:pPr>
    <w:rPr>
      <w:rFonts w:asciiTheme="minorHAnsi" w:eastAsiaTheme="minorHAnsi" w:hAnsiTheme="minorHAnsi" w:cstheme="minorBidi"/>
      <w:i/>
      <w:iCs/>
      <w:color w:val="1F497D" w:themeColor="text2"/>
      <w:sz w:val="18"/>
      <w:szCs w:val="18"/>
      <w:lang w:val="fr-FR"/>
    </w:rPr>
  </w:style>
  <w:style w:type="paragraph" w:styleId="NormalWeb">
    <w:name w:val="Normal (Web)"/>
    <w:basedOn w:val="Normal"/>
    <w:uiPriority w:val="99"/>
    <w:semiHidden/>
    <w:unhideWhenUsed/>
    <w:rsid w:val="00EE67DE"/>
    <w:pPr>
      <w:widowControl/>
      <w:spacing w:before="100" w:beforeAutospacing="1" w:after="100" w:afterAutospacing="1"/>
    </w:pPr>
    <w:rPr>
      <w:rFonts w:ascii="Times New Roman" w:eastAsiaTheme="minorEastAsia" w:hAnsi="Times New Roman" w:cs="Times New Roman"/>
      <w:sz w:val="24"/>
      <w:szCs w:val="24"/>
      <w:lang w:val="fr-FR" w:eastAsia="fr-FR"/>
    </w:rPr>
  </w:style>
  <w:style w:type="character" w:customStyle="1" w:styleId="highlight">
    <w:name w:val="highlight"/>
    <w:basedOn w:val="DefaultParagraphFont"/>
    <w:rsid w:val="006D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0F502-20F2-4D45-A284-426410F68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2</Pages>
  <Words>1533</Words>
  <Characters>8744</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Microsoft Office User</cp:lastModifiedBy>
  <cp:revision>15</cp:revision>
  <cp:lastPrinted>2018-01-18T11:35:00Z</cp:lastPrinted>
  <dcterms:created xsi:type="dcterms:W3CDTF">2018-01-19T09:21:00Z</dcterms:created>
  <dcterms:modified xsi:type="dcterms:W3CDTF">2018-01-21T21:30:00Z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39b39299-53e6-3768-a54e-465002c7a585</vt:lpwstr>
  </property>
  <property fmtid="{D5CDD505-2E9C-101B-9397-08002B2CF9AE}" pid="27" name="Mendeley Citation Style_1">
    <vt:lpwstr>http://www.zotero.org/styles/apa</vt:lpwstr>
  </property>
</Properties>
</file>