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BC0AA" w14:textId="540CBE3B" w:rsidR="00253B4D" w:rsidRDefault="003D7BEA" w:rsidP="003D7BEA">
      <w:pPr>
        <w:spacing w:after="0" w:line="240" w:lineRule="auto"/>
        <w:rPr>
          <w:rFonts w:ascii="Arial Black" w:hAnsi="Arial Black"/>
          <w:sz w:val="32"/>
        </w:rPr>
      </w:pPr>
      <w:r w:rsidRPr="003D7BEA">
        <w:rPr>
          <w:rFonts w:ascii="Arial Black" w:hAnsi="Arial Black"/>
          <w:sz w:val="32"/>
        </w:rPr>
        <w:t xml:space="preserve">A Case Report on </w:t>
      </w:r>
      <w:r w:rsidRPr="003D7BEA">
        <w:rPr>
          <w:rFonts w:ascii="Arial Black" w:hAnsi="Arial Black"/>
          <w:i/>
          <w:sz w:val="32"/>
        </w:rPr>
        <w:t>Listeria monocytogenes</w:t>
      </w:r>
      <w:r w:rsidRPr="003D7BEA">
        <w:rPr>
          <w:rFonts w:ascii="Arial Black" w:hAnsi="Arial Black"/>
          <w:sz w:val="32"/>
        </w:rPr>
        <w:t xml:space="preserve"> Meningoencephalitis, Acute Disseminated Encephalomyelitis, and Cytomegalovirus Viremia </w:t>
      </w:r>
      <w:r>
        <w:rPr>
          <w:rFonts w:ascii="Arial Black" w:hAnsi="Arial Black"/>
          <w:sz w:val="32"/>
        </w:rPr>
        <w:t>i</w:t>
      </w:r>
      <w:r w:rsidRPr="003D7BEA">
        <w:rPr>
          <w:rFonts w:ascii="Arial Black" w:hAnsi="Arial Black"/>
          <w:sz w:val="32"/>
        </w:rPr>
        <w:t xml:space="preserve">n </w:t>
      </w:r>
      <w:r>
        <w:rPr>
          <w:rFonts w:ascii="Arial Black" w:hAnsi="Arial Black"/>
          <w:sz w:val="32"/>
        </w:rPr>
        <w:t>a</w:t>
      </w:r>
      <w:r w:rsidRPr="003D7BEA">
        <w:rPr>
          <w:rFonts w:ascii="Arial Black" w:hAnsi="Arial Black"/>
          <w:sz w:val="32"/>
        </w:rPr>
        <w:t>n Immunocompromised Patient on Steroid Therapy</w:t>
      </w:r>
    </w:p>
    <w:p w14:paraId="6BB43A6D" w14:textId="249EE0BE" w:rsidR="003D7BEA" w:rsidRDefault="003D7BEA" w:rsidP="003D7BEA">
      <w:pPr>
        <w:spacing w:after="0" w:line="240" w:lineRule="auto"/>
        <w:rPr>
          <w:rFonts w:asciiTheme="majorHAnsi" w:hAnsiTheme="majorHAnsi" w:cstheme="majorHAnsi"/>
          <w:sz w:val="20"/>
        </w:rPr>
      </w:pPr>
      <w:r w:rsidRPr="003D7BEA">
        <w:rPr>
          <w:rFonts w:asciiTheme="majorHAnsi" w:hAnsiTheme="majorHAnsi" w:cstheme="majorHAnsi"/>
          <w:sz w:val="20"/>
        </w:rPr>
        <w:t xml:space="preserve">Roberto </w:t>
      </w:r>
      <w:proofErr w:type="spellStart"/>
      <w:r w:rsidRPr="003D7BEA">
        <w:rPr>
          <w:rFonts w:asciiTheme="majorHAnsi" w:hAnsiTheme="majorHAnsi" w:cstheme="majorHAnsi"/>
          <w:sz w:val="20"/>
        </w:rPr>
        <w:t>Salvino</w:t>
      </w:r>
      <w:proofErr w:type="spellEnd"/>
      <w:r w:rsidRPr="003D7BEA">
        <w:rPr>
          <w:rFonts w:asciiTheme="majorHAnsi" w:hAnsiTheme="majorHAnsi" w:cstheme="majorHAnsi"/>
          <w:sz w:val="20"/>
        </w:rPr>
        <w:t>, MD</w:t>
      </w:r>
      <w:r>
        <w:rPr>
          <w:rFonts w:asciiTheme="majorHAnsi" w:hAnsiTheme="majorHAnsi" w:cstheme="majorHAnsi"/>
          <w:sz w:val="20"/>
        </w:rPr>
        <w:t>;</w:t>
      </w:r>
      <w:r w:rsidRPr="003D7BEA">
        <w:rPr>
          <w:rFonts w:asciiTheme="majorHAnsi" w:hAnsiTheme="majorHAnsi" w:cstheme="majorHAnsi"/>
          <w:sz w:val="20"/>
        </w:rPr>
        <w:t xml:space="preserve"> Rainier Mark Alegria, MD; Ma. Isabel </w:t>
      </w:r>
      <w:proofErr w:type="spellStart"/>
      <w:r w:rsidRPr="003D7BEA">
        <w:rPr>
          <w:rFonts w:asciiTheme="majorHAnsi" w:hAnsiTheme="majorHAnsi" w:cstheme="majorHAnsi"/>
          <w:sz w:val="20"/>
        </w:rPr>
        <w:t>Duavit</w:t>
      </w:r>
      <w:proofErr w:type="spellEnd"/>
      <w:r w:rsidRPr="003D7BEA">
        <w:rPr>
          <w:rFonts w:asciiTheme="majorHAnsi" w:hAnsiTheme="majorHAnsi" w:cstheme="majorHAnsi"/>
          <w:sz w:val="20"/>
        </w:rPr>
        <w:t xml:space="preserve">, MD; Ana Marie </w:t>
      </w:r>
      <w:proofErr w:type="spellStart"/>
      <w:r w:rsidRPr="003D7BEA">
        <w:rPr>
          <w:rFonts w:asciiTheme="majorHAnsi" w:hAnsiTheme="majorHAnsi" w:cstheme="majorHAnsi"/>
          <w:sz w:val="20"/>
        </w:rPr>
        <w:t>Javelosa</w:t>
      </w:r>
      <w:proofErr w:type="spellEnd"/>
      <w:r w:rsidRPr="003D7BEA">
        <w:rPr>
          <w:rFonts w:asciiTheme="majorHAnsi" w:hAnsiTheme="majorHAnsi" w:cstheme="majorHAnsi"/>
          <w:sz w:val="20"/>
        </w:rPr>
        <w:t>, MD</w:t>
      </w:r>
    </w:p>
    <w:p w14:paraId="7E209C88" w14:textId="1A2C1697" w:rsidR="003D7BEA" w:rsidRDefault="003D7BEA" w:rsidP="003D7BEA">
      <w:pPr>
        <w:spacing w:after="0" w:line="240" w:lineRule="auto"/>
        <w:rPr>
          <w:rFonts w:asciiTheme="majorHAnsi" w:hAnsiTheme="majorHAnsi" w:cstheme="majorHAnsi"/>
          <w:sz w:val="20"/>
        </w:rPr>
      </w:pPr>
    </w:p>
    <w:p w14:paraId="26D8BFB7" w14:textId="77777777" w:rsidR="008C7D98" w:rsidRDefault="008C7D98" w:rsidP="008C7D98">
      <w:pPr>
        <w:spacing w:after="0" w:line="240" w:lineRule="auto"/>
        <w:jc w:val="both"/>
        <w:rPr>
          <w:b/>
        </w:rPr>
        <w:sectPr w:rsidR="008C7D98" w:rsidSect="000F0AB2">
          <w:type w:val="continuous"/>
          <w:pgSz w:w="11906" w:h="16838" w:code="9"/>
          <w:pgMar w:top="720" w:right="720" w:bottom="720" w:left="720" w:header="706" w:footer="706" w:gutter="0"/>
          <w:cols w:space="708"/>
          <w:docGrid w:linePitch="360"/>
        </w:sectPr>
      </w:pPr>
    </w:p>
    <w:p w14:paraId="792CDB87" w14:textId="606BE90F" w:rsidR="008C7D98" w:rsidRPr="008C7D98" w:rsidRDefault="008C7D98" w:rsidP="008C7D98">
      <w:pPr>
        <w:spacing w:after="0" w:line="240" w:lineRule="auto"/>
        <w:jc w:val="both"/>
        <w:rPr>
          <w:b/>
          <w:sz w:val="20"/>
        </w:rPr>
      </w:pPr>
      <w:r w:rsidRPr="008C7D98">
        <w:rPr>
          <w:b/>
          <w:sz w:val="20"/>
        </w:rPr>
        <w:t>ABSTRACT</w:t>
      </w:r>
    </w:p>
    <w:p w14:paraId="337AD683" w14:textId="77777777" w:rsidR="008C7D98" w:rsidRDefault="008C7D98" w:rsidP="008C7D98">
      <w:pPr>
        <w:spacing w:after="0" w:line="240" w:lineRule="auto"/>
        <w:jc w:val="both"/>
        <w:rPr>
          <w:b/>
          <w:sz w:val="18"/>
        </w:rPr>
      </w:pPr>
    </w:p>
    <w:p w14:paraId="48EECC7E" w14:textId="6F2D2F41" w:rsidR="008C7D98" w:rsidRPr="008C7D98" w:rsidRDefault="008C7D98" w:rsidP="008C7D98">
      <w:pPr>
        <w:spacing w:after="0" w:line="240" w:lineRule="auto"/>
        <w:jc w:val="both"/>
        <w:rPr>
          <w:i/>
          <w:sz w:val="18"/>
        </w:rPr>
      </w:pPr>
      <w:r w:rsidRPr="008C7D98">
        <w:rPr>
          <w:b/>
          <w:sz w:val="18"/>
        </w:rPr>
        <w:t>Introduction</w:t>
      </w:r>
    </w:p>
    <w:p w14:paraId="0C27E0C2" w14:textId="77777777" w:rsidR="008C7D98" w:rsidRPr="008C7D98" w:rsidRDefault="008C7D98" w:rsidP="008C7D98">
      <w:pPr>
        <w:spacing w:after="0" w:line="240" w:lineRule="auto"/>
        <w:jc w:val="both"/>
        <w:rPr>
          <w:sz w:val="18"/>
        </w:rPr>
      </w:pPr>
      <w:r w:rsidRPr="008C7D98">
        <w:rPr>
          <w:i/>
          <w:sz w:val="18"/>
        </w:rPr>
        <w:t>Listeria monocytogenes</w:t>
      </w:r>
      <w:r w:rsidRPr="008C7D98">
        <w:rPr>
          <w:sz w:val="18"/>
        </w:rPr>
        <w:t xml:space="preserve"> is an opportunistic pathogen that affects immunocompromised patients and has a very high mortality rate. Central nervous system (CNS) infection and bacteremia are the foremost clinical manifestation in susceptible hosts. Infection with multiple pathogens is not common but still possible especially in the immunocompromised.</w:t>
      </w:r>
    </w:p>
    <w:p w14:paraId="76DF4A2A" w14:textId="77777777" w:rsidR="008C7D98" w:rsidRDefault="008C7D98" w:rsidP="008C7D98">
      <w:pPr>
        <w:spacing w:after="0" w:line="240" w:lineRule="auto"/>
        <w:jc w:val="both"/>
        <w:rPr>
          <w:b/>
          <w:sz w:val="18"/>
        </w:rPr>
      </w:pPr>
    </w:p>
    <w:p w14:paraId="70E623ED" w14:textId="7FA84EAD" w:rsidR="008C7D98" w:rsidRPr="008C7D98" w:rsidRDefault="008C7D98" w:rsidP="008C7D98">
      <w:pPr>
        <w:spacing w:after="0" w:line="240" w:lineRule="auto"/>
        <w:jc w:val="both"/>
        <w:rPr>
          <w:b/>
          <w:sz w:val="18"/>
        </w:rPr>
      </w:pPr>
      <w:r w:rsidRPr="008C7D98">
        <w:rPr>
          <w:b/>
          <w:sz w:val="18"/>
        </w:rPr>
        <w:t>Case</w:t>
      </w:r>
    </w:p>
    <w:p w14:paraId="47FD36CE" w14:textId="0B879209" w:rsidR="008C7D98" w:rsidRPr="008C7D98" w:rsidRDefault="008C7D98" w:rsidP="008C7D98">
      <w:pPr>
        <w:spacing w:after="0" w:line="240" w:lineRule="auto"/>
        <w:jc w:val="both"/>
        <w:rPr>
          <w:sz w:val="18"/>
        </w:rPr>
      </w:pPr>
      <w:r w:rsidRPr="008C7D98">
        <w:rPr>
          <w:sz w:val="18"/>
        </w:rPr>
        <w:t xml:space="preserve">Presenting a 57-year-old female with chronic kidney disease from probable glomerulonephritis treated with prednisone for 7 weeks. She was admitted for progressive neurologic symptoms that began with </w:t>
      </w:r>
      <w:proofErr w:type="spellStart"/>
      <w:r w:rsidRPr="008C7D98">
        <w:rPr>
          <w:sz w:val="18"/>
        </w:rPr>
        <w:t>Broca’s</w:t>
      </w:r>
      <w:proofErr w:type="spellEnd"/>
      <w:r w:rsidRPr="008C7D98">
        <w:rPr>
          <w:sz w:val="18"/>
        </w:rPr>
        <w:t xml:space="preserve"> aphasia followed by decreased level of consciousness and fever. There was also concomitant hematochezia. Empiric treatment for CNS</w:t>
      </w:r>
      <w:r>
        <w:rPr>
          <w:sz w:val="18"/>
        </w:rPr>
        <w:t xml:space="preserve"> </w:t>
      </w:r>
      <w:r w:rsidRPr="008C7D98">
        <w:rPr>
          <w:sz w:val="18"/>
        </w:rPr>
        <w:t xml:space="preserve">infection and pneumonia with intravenous (IV) Ceftriaxone, Vancomycin, Metronidazole, and Acyclovir were given. Lower gastrointestinal bleeding from jejunal </w:t>
      </w:r>
      <w:proofErr w:type="spellStart"/>
      <w:r w:rsidRPr="008C7D98">
        <w:rPr>
          <w:sz w:val="18"/>
        </w:rPr>
        <w:t>angioectasia</w:t>
      </w:r>
      <w:proofErr w:type="spellEnd"/>
      <w:r w:rsidRPr="008C7D98">
        <w:rPr>
          <w:sz w:val="18"/>
        </w:rPr>
        <w:t xml:space="preserve"> was treated and resolved. </w:t>
      </w:r>
      <w:proofErr w:type="spellStart"/>
      <w:r w:rsidRPr="008C7D98">
        <w:rPr>
          <w:sz w:val="18"/>
        </w:rPr>
        <w:t>Cerebsospinal</w:t>
      </w:r>
      <w:proofErr w:type="spellEnd"/>
      <w:r w:rsidRPr="008C7D98">
        <w:rPr>
          <w:sz w:val="18"/>
        </w:rPr>
        <w:t xml:space="preserve"> fluid (CSF) and blood cultures turned positive for Listeria monocytogenes on the 3</w:t>
      </w:r>
      <w:r w:rsidRPr="00CC7EBF">
        <w:rPr>
          <w:sz w:val="18"/>
          <w:vertAlign w:val="superscript"/>
        </w:rPr>
        <w:t>rd</w:t>
      </w:r>
      <w:r w:rsidR="00CC7EBF">
        <w:rPr>
          <w:sz w:val="18"/>
        </w:rPr>
        <w:t xml:space="preserve"> </w:t>
      </w:r>
      <w:r w:rsidRPr="008C7D98">
        <w:rPr>
          <w:sz w:val="18"/>
        </w:rPr>
        <w:t>hospital day. Antimicrobial regimen was shifted to Ampicillin and Meropenem. Marked clinical improvement was evident 1-2 days after anti-infectives were shifted. Blood CMV PCR was positive on the 9</w:t>
      </w:r>
      <w:r w:rsidRPr="008C7D98">
        <w:rPr>
          <w:sz w:val="18"/>
          <w:vertAlign w:val="superscript"/>
        </w:rPr>
        <w:t>th</w:t>
      </w:r>
      <w:r w:rsidRPr="008C7D98">
        <w:rPr>
          <w:sz w:val="18"/>
        </w:rPr>
        <w:t xml:space="preserve"> hospital day thus IV Ganciclovir was started. Meropenem was shifted to Cefepime and Metronidazole due to progression of pneumonia. On the 16</w:t>
      </w:r>
      <w:r w:rsidRPr="008C7D98">
        <w:rPr>
          <w:sz w:val="18"/>
          <w:vertAlign w:val="superscript"/>
        </w:rPr>
        <w:t>th</w:t>
      </w:r>
      <w:r w:rsidRPr="008C7D98">
        <w:rPr>
          <w:sz w:val="18"/>
        </w:rPr>
        <w:t xml:space="preserve"> hospital day, there was recurrence of </w:t>
      </w:r>
      <w:proofErr w:type="spellStart"/>
      <w:r w:rsidRPr="008C7D98">
        <w:rPr>
          <w:sz w:val="18"/>
        </w:rPr>
        <w:t>Broca’s</w:t>
      </w:r>
      <w:proofErr w:type="spellEnd"/>
      <w:r w:rsidRPr="008C7D98">
        <w:rPr>
          <w:sz w:val="18"/>
        </w:rPr>
        <w:t xml:space="preserve"> aphasia. Non-contrast Brain MRI showed multiple tiny subcortical white matter FLAIR hyperintense foci in the right frontal area with noted low CSF IgG. Acute disseminated encephalomyelitis (ADEM) treatment with Dexamethasone was effective and improved speech production after 3 days. Antimicrobial treatment resolved the infection and the patient was discharged coherent and conversant</w:t>
      </w:r>
      <w:r w:rsidR="00207E5A">
        <w:rPr>
          <w:sz w:val="18"/>
        </w:rPr>
        <w:t>.</w:t>
      </w:r>
    </w:p>
    <w:p w14:paraId="68076B32" w14:textId="77777777" w:rsidR="008C7D98" w:rsidRDefault="008C7D98" w:rsidP="008C7D98">
      <w:pPr>
        <w:spacing w:after="0" w:line="240" w:lineRule="auto"/>
        <w:jc w:val="both"/>
        <w:rPr>
          <w:b/>
          <w:sz w:val="18"/>
        </w:rPr>
      </w:pPr>
    </w:p>
    <w:p w14:paraId="376503C3" w14:textId="46F1D45A" w:rsidR="008C7D98" w:rsidRPr="008C7D98" w:rsidRDefault="008C7D98" w:rsidP="008C7D98">
      <w:pPr>
        <w:spacing w:after="0" w:line="240" w:lineRule="auto"/>
        <w:jc w:val="both"/>
        <w:rPr>
          <w:b/>
          <w:sz w:val="18"/>
        </w:rPr>
      </w:pPr>
      <w:r w:rsidRPr="008C7D98">
        <w:rPr>
          <w:b/>
          <w:sz w:val="18"/>
        </w:rPr>
        <w:t>Conclusion</w:t>
      </w:r>
    </w:p>
    <w:p w14:paraId="394E29D4" w14:textId="7BD65DA2" w:rsidR="008C7D98" w:rsidRDefault="008C7D98" w:rsidP="008C7D98">
      <w:pPr>
        <w:spacing w:after="0" w:line="240" w:lineRule="auto"/>
        <w:jc w:val="both"/>
        <w:rPr>
          <w:sz w:val="18"/>
        </w:rPr>
      </w:pPr>
      <w:r w:rsidRPr="008C7D98">
        <w:rPr>
          <w:sz w:val="18"/>
        </w:rPr>
        <w:t>The authors conclude that early detection and treatment of Listeria infection is essential for a good prognosis. Infection with multiple pathogens should be watched out for in susceptible hosts. ADEM may develop post CNS infection and should be watched for.</w:t>
      </w:r>
    </w:p>
    <w:p w14:paraId="19757BF6" w14:textId="10F9E72C" w:rsidR="00EE4735" w:rsidRDefault="00EE4735" w:rsidP="008C7D98">
      <w:pPr>
        <w:spacing w:after="0" w:line="240" w:lineRule="auto"/>
        <w:jc w:val="both"/>
      </w:pPr>
    </w:p>
    <w:p w14:paraId="58867184" w14:textId="5486D9BF" w:rsidR="00EE4735" w:rsidRDefault="00EE4735" w:rsidP="008C7D98">
      <w:pPr>
        <w:spacing w:after="0" w:line="240" w:lineRule="auto"/>
        <w:jc w:val="both"/>
      </w:pPr>
    </w:p>
    <w:p w14:paraId="603DAF89" w14:textId="5AB45E34" w:rsidR="00EE4735" w:rsidRDefault="000F0AB2" w:rsidP="008C7D98">
      <w:pPr>
        <w:spacing w:after="0" w:line="240" w:lineRule="auto"/>
        <w:jc w:val="both"/>
      </w:pPr>
      <w:r>
        <w:rPr>
          <w:rFonts w:ascii="Calibri"/>
          <w:noProof/>
          <w:sz w:val="4"/>
          <w:lang w:val="en-IN" w:eastAsia="en-IN"/>
        </w:rPr>
        <mc:AlternateContent>
          <mc:Choice Requires="wpg">
            <w:drawing>
              <wp:anchor distT="0" distB="0" distL="114300" distR="114300" simplePos="0" relativeHeight="251659264" behindDoc="0" locked="0" layoutInCell="1" allowOverlap="1" wp14:anchorId="0A82C3D8" wp14:editId="05D6102B">
                <wp:simplePos x="0" y="0"/>
                <wp:positionH relativeFrom="margin">
                  <wp:align>center</wp:align>
                </wp:positionH>
                <wp:positionV relativeFrom="paragraph">
                  <wp:posOffset>162560</wp:posOffset>
                </wp:positionV>
                <wp:extent cx="3098165" cy="19685"/>
                <wp:effectExtent l="0" t="0" r="0" b="0"/>
                <wp:wrapNone/>
                <wp:docPr id="9"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98165" cy="19685"/>
                          <a:chOff x="0" y="0"/>
                          <a:chExt cx="6261" cy="40"/>
                        </a:xfrm>
                      </wpg:grpSpPr>
                      <wps:wsp>
                        <wps:cNvPr id="10"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37F1145" id="Group 4" o:spid="_x0000_s1026" style="position:absolute;margin-left:0;margin-top:12.8pt;width:243.95pt;height:1.55pt;z-index:251659264;mso-position-horizontal:center;mso-position-horizontal-relative:margin"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" strokecolor="#004080" strokeweight="2pt"/>
                <w10:wrap anchorx="margin"/>
              </v:group>
            </w:pict>
          </mc:Fallback>
        </mc:AlternateContent>
      </w:r>
    </w:p>
    <w:p w14:paraId="1AB2A3A7" w14:textId="0D7FE850" w:rsidR="00EE4735" w:rsidRDefault="00EE4735" w:rsidP="008C7D98">
      <w:pPr>
        <w:spacing w:after="0" w:line="240" w:lineRule="auto"/>
        <w:jc w:val="both"/>
      </w:pPr>
    </w:p>
    <w:p w14:paraId="6ECBA4A4" w14:textId="7F000353" w:rsidR="009B1E85" w:rsidRDefault="000F0AB2" w:rsidP="003D7BEA">
      <w:pPr>
        <w:spacing w:after="0" w:line="240" w:lineRule="auto"/>
        <w:rPr>
          <w:rFonts w:asciiTheme="majorHAnsi" w:hAnsiTheme="majorHAnsi" w:cstheme="majorHAnsi"/>
          <w:sz w:val="20"/>
        </w:rPr>
      </w:pPr>
      <w:r w:rsidRPr="000F0AB2">
        <w:rPr>
          <w:rFonts w:asciiTheme="majorHAnsi" w:hAnsiTheme="majorHAnsi" w:cstheme="majorHAnsi"/>
          <w:noProof/>
          <w:sz w:val="20"/>
        </w:rPr>
        <w:drawing>
          <wp:anchor distT="0" distB="0" distL="114300" distR="114300" simplePos="0" relativeHeight="251658240" behindDoc="0" locked="0" layoutInCell="1" allowOverlap="1" wp14:anchorId="455E20CC" wp14:editId="2FDE23A2">
            <wp:simplePos x="0" y="0"/>
            <wp:positionH relativeFrom="column">
              <wp:posOffset>247650</wp:posOffset>
            </wp:positionH>
            <wp:positionV relativeFrom="paragraph">
              <wp:posOffset>7620</wp:posOffset>
            </wp:positionV>
            <wp:extent cx="933450" cy="1191895"/>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33450" cy="1191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79E1F9" w14:textId="62B85BA9" w:rsidR="003D7BEA" w:rsidRDefault="003D7BEA" w:rsidP="003D7BEA">
      <w:pPr>
        <w:spacing w:after="0" w:line="240" w:lineRule="auto"/>
        <w:rPr>
          <w:rFonts w:asciiTheme="majorHAnsi" w:hAnsiTheme="majorHAnsi" w:cstheme="majorHAnsi"/>
          <w:sz w:val="20"/>
        </w:rPr>
      </w:pPr>
      <w:r>
        <w:rPr>
          <w:noProof/>
        </w:rPr>
        <w:drawing>
          <wp:inline distT="0" distB="0" distL="0" distR="0" wp14:anchorId="0D27F57D" wp14:editId="25FDD68E">
            <wp:extent cx="3117850" cy="2282633"/>
            <wp:effectExtent l="0" t="0" r="635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31128" cy="2292354"/>
                    </a:xfrm>
                    <a:prstGeom prst="rect">
                      <a:avLst/>
                    </a:prstGeom>
                    <a:noFill/>
                    <a:ln>
                      <a:noFill/>
                    </a:ln>
                  </pic:spPr>
                </pic:pic>
              </a:graphicData>
            </a:graphic>
          </wp:inline>
        </w:drawing>
      </w:r>
    </w:p>
    <w:p w14:paraId="6E9B901E" w14:textId="4A2F06EF" w:rsidR="003D7BEA" w:rsidRPr="00CC7EBF" w:rsidRDefault="003D7BEA" w:rsidP="003D7BEA">
      <w:pPr>
        <w:spacing w:after="0" w:line="240" w:lineRule="auto"/>
        <w:rPr>
          <w:rFonts w:asciiTheme="majorHAnsi" w:hAnsiTheme="majorHAnsi" w:cstheme="majorHAnsi"/>
          <w:sz w:val="18"/>
        </w:rPr>
      </w:pPr>
      <w:r w:rsidRPr="000F0AB2">
        <w:rPr>
          <w:rFonts w:asciiTheme="majorHAnsi" w:hAnsiTheme="majorHAnsi" w:cstheme="majorHAnsi"/>
          <w:b/>
          <w:sz w:val="18"/>
        </w:rPr>
        <w:t>Figure 1.</w:t>
      </w:r>
      <w:r w:rsidRPr="00CC7EBF">
        <w:rPr>
          <w:rFonts w:asciiTheme="majorHAnsi" w:hAnsiTheme="majorHAnsi" w:cstheme="majorHAnsi"/>
          <w:sz w:val="18"/>
        </w:rPr>
        <w:t xml:space="preserve"> Gram stain of culture growth of cerebrospinal fluid, showing </w:t>
      </w:r>
      <w:r w:rsidRPr="00CC7EBF">
        <w:rPr>
          <w:rFonts w:asciiTheme="majorHAnsi" w:hAnsiTheme="majorHAnsi" w:cstheme="majorHAnsi"/>
          <w:i/>
          <w:sz w:val="18"/>
        </w:rPr>
        <w:t>Listeria monocytogenes</w:t>
      </w:r>
      <w:r w:rsidR="009B1E85" w:rsidRPr="00CC7EBF">
        <w:rPr>
          <w:rFonts w:asciiTheme="majorHAnsi" w:hAnsiTheme="majorHAnsi" w:cstheme="majorHAnsi"/>
          <w:i/>
          <w:sz w:val="18"/>
        </w:rPr>
        <w:t xml:space="preserve">, </w:t>
      </w:r>
      <w:r w:rsidR="009B1E85" w:rsidRPr="00CC7EBF">
        <w:rPr>
          <w:rFonts w:asciiTheme="majorHAnsi" w:hAnsiTheme="majorHAnsi" w:cstheme="majorHAnsi"/>
          <w:sz w:val="18"/>
        </w:rPr>
        <w:t>gram positive rods</w:t>
      </w:r>
    </w:p>
    <w:p w14:paraId="1BE7D0FC" w14:textId="27492093" w:rsidR="008C7D98" w:rsidRDefault="008C7D98" w:rsidP="003D7BEA">
      <w:pPr>
        <w:spacing w:after="0" w:line="240" w:lineRule="auto"/>
        <w:rPr>
          <w:rFonts w:asciiTheme="majorHAnsi" w:hAnsiTheme="majorHAnsi" w:cstheme="majorHAnsi"/>
          <w:sz w:val="20"/>
        </w:rPr>
      </w:pPr>
    </w:p>
    <w:p w14:paraId="579F8B4D" w14:textId="1923DABA" w:rsidR="008C7D98" w:rsidRDefault="008C7D98" w:rsidP="008C7D98">
      <w:pPr>
        <w:spacing w:after="0" w:line="240" w:lineRule="auto"/>
        <w:jc w:val="both"/>
        <w:rPr>
          <w:b/>
          <w:sz w:val="20"/>
        </w:rPr>
      </w:pPr>
      <w:r>
        <w:rPr>
          <w:b/>
          <w:sz w:val="20"/>
        </w:rPr>
        <w:t>REFERENCES</w:t>
      </w:r>
    </w:p>
    <w:p w14:paraId="339ABC93" w14:textId="6DCB5B6F" w:rsidR="0031022B" w:rsidRPr="00CC7EBF" w:rsidRDefault="0031022B" w:rsidP="0031022B">
      <w:pPr>
        <w:pStyle w:val="ListParagraph"/>
        <w:numPr>
          <w:ilvl w:val="0"/>
          <w:numId w:val="1"/>
        </w:numPr>
        <w:spacing w:after="0" w:line="240" w:lineRule="auto"/>
        <w:jc w:val="both"/>
        <w:rPr>
          <w:sz w:val="18"/>
        </w:rPr>
      </w:pPr>
      <w:r w:rsidRPr="00CC7EBF">
        <w:rPr>
          <w:sz w:val="18"/>
        </w:rPr>
        <w:t xml:space="preserve">Buchanan, R., </w:t>
      </w:r>
      <w:proofErr w:type="spellStart"/>
      <w:r w:rsidRPr="00CC7EBF">
        <w:rPr>
          <w:sz w:val="18"/>
        </w:rPr>
        <w:t>Gorris</w:t>
      </w:r>
      <w:proofErr w:type="spellEnd"/>
      <w:r w:rsidRPr="00CC7EBF">
        <w:rPr>
          <w:sz w:val="18"/>
        </w:rPr>
        <w:t xml:space="preserve">, L., Hayman, M., Jackson, T. and Whiting, R. (2017). A review of Listeria </w:t>
      </w:r>
      <w:proofErr w:type="gramStart"/>
      <w:r w:rsidRPr="00CC7EBF">
        <w:rPr>
          <w:sz w:val="18"/>
        </w:rPr>
        <w:t>monocytogenes :</w:t>
      </w:r>
      <w:proofErr w:type="gramEnd"/>
      <w:r w:rsidRPr="00CC7EBF">
        <w:rPr>
          <w:sz w:val="18"/>
        </w:rPr>
        <w:t xml:space="preserve"> An update on outbreaks, virulence, dose-response, ecology, and risk assessments. Food Control, 75, pp.1-13.</w:t>
      </w:r>
    </w:p>
    <w:p w14:paraId="69D9A43F" w14:textId="4F651156" w:rsidR="0031022B" w:rsidRDefault="0031022B" w:rsidP="008C7D98">
      <w:pPr>
        <w:pStyle w:val="ListParagraph"/>
        <w:numPr>
          <w:ilvl w:val="0"/>
          <w:numId w:val="1"/>
        </w:numPr>
        <w:spacing w:after="0" w:line="240" w:lineRule="auto"/>
        <w:jc w:val="both"/>
        <w:rPr>
          <w:sz w:val="18"/>
        </w:rPr>
      </w:pPr>
      <w:r w:rsidRPr="00CC7EBF">
        <w:rPr>
          <w:sz w:val="18"/>
        </w:rPr>
        <w:t>Chp.gov.hk. (2018). Epidemiology of Listeriosis and Prevention Strategies [online] Available at: https://www.chp.gov.hk/files/pdf/epidemiology_of_listeriosis_and_prevention_strategies_r.pdf [Accessed 20 Aug. 2018].</w:t>
      </w:r>
    </w:p>
    <w:p w14:paraId="7AF89C79" w14:textId="4309A3FD" w:rsidR="00CC7EBF" w:rsidRDefault="00CC7EBF" w:rsidP="00CC7EBF">
      <w:pPr>
        <w:pStyle w:val="ListParagraph"/>
        <w:numPr>
          <w:ilvl w:val="0"/>
          <w:numId w:val="1"/>
        </w:numPr>
        <w:spacing w:after="0" w:line="240" w:lineRule="auto"/>
        <w:jc w:val="both"/>
        <w:rPr>
          <w:sz w:val="18"/>
        </w:rPr>
      </w:pPr>
      <w:r w:rsidRPr="00CC7EBF">
        <w:rPr>
          <w:sz w:val="18"/>
        </w:rPr>
        <w:t xml:space="preserve">F. Arslan, E. </w:t>
      </w:r>
      <w:proofErr w:type="spellStart"/>
      <w:r w:rsidRPr="00CC7EBF">
        <w:rPr>
          <w:sz w:val="18"/>
        </w:rPr>
        <w:t>Meynet</w:t>
      </w:r>
      <w:proofErr w:type="spellEnd"/>
      <w:r w:rsidRPr="00CC7EBF">
        <w:rPr>
          <w:sz w:val="18"/>
        </w:rPr>
        <w:t xml:space="preserve">, M. </w:t>
      </w:r>
      <w:proofErr w:type="spellStart"/>
      <w:r w:rsidRPr="00CC7EBF">
        <w:rPr>
          <w:sz w:val="18"/>
        </w:rPr>
        <w:t>Sunbul</w:t>
      </w:r>
      <w:proofErr w:type="spellEnd"/>
      <w:r w:rsidRPr="00CC7EBF">
        <w:rPr>
          <w:sz w:val="18"/>
        </w:rPr>
        <w:t xml:space="preserve"> et al., “The clinical features, diagnosis, treatment, and prognosis of </w:t>
      </w:r>
      <w:proofErr w:type="spellStart"/>
      <w:r w:rsidRPr="00CC7EBF">
        <w:rPr>
          <w:sz w:val="18"/>
        </w:rPr>
        <w:t>neuroinvasive</w:t>
      </w:r>
      <w:proofErr w:type="spellEnd"/>
      <w:r w:rsidRPr="00CC7EBF">
        <w:rPr>
          <w:sz w:val="18"/>
        </w:rPr>
        <w:t xml:space="preserve"> listeriosis: a multinational study,” European Journal of Clinical Microbiology and Infectious Diseases, vol. 34, no. 6, pp. 1213–1221, 2015.</w:t>
      </w:r>
    </w:p>
    <w:p w14:paraId="7CD5EC93" w14:textId="22862820" w:rsidR="00CC7EBF" w:rsidRPr="00CC7EBF" w:rsidRDefault="00CC7EBF" w:rsidP="00CC7EBF">
      <w:pPr>
        <w:pStyle w:val="ListParagraph"/>
        <w:numPr>
          <w:ilvl w:val="0"/>
          <w:numId w:val="1"/>
        </w:numPr>
        <w:spacing w:after="0" w:line="240" w:lineRule="auto"/>
        <w:jc w:val="both"/>
        <w:rPr>
          <w:sz w:val="18"/>
        </w:rPr>
      </w:pPr>
      <w:r w:rsidRPr="00CC7EBF">
        <w:rPr>
          <w:sz w:val="18"/>
        </w:rPr>
        <w:t xml:space="preserve">M. C. Brouwer, A. R. </w:t>
      </w:r>
      <w:proofErr w:type="spellStart"/>
      <w:r w:rsidRPr="00CC7EBF">
        <w:rPr>
          <w:sz w:val="18"/>
        </w:rPr>
        <w:t>Tunkel</w:t>
      </w:r>
      <w:proofErr w:type="spellEnd"/>
      <w:r w:rsidRPr="00CC7EBF">
        <w:rPr>
          <w:sz w:val="18"/>
        </w:rPr>
        <w:t xml:space="preserve">, and D. van de </w:t>
      </w:r>
      <w:proofErr w:type="spellStart"/>
      <w:r w:rsidRPr="00CC7EBF">
        <w:rPr>
          <w:sz w:val="18"/>
        </w:rPr>
        <w:t>Beek</w:t>
      </w:r>
      <w:proofErr w:type="spellEnd"/>
      <w:r w:rsidRPr="00CC7EBF">
        <w:rPr>
          <w:sz w:val="18"/>
        </w:rPr>
        <w:t>, “Epidemiology, diagnosis, and antimicrobial treatment of acute bacterial meningitis,” Clinical Microbiology Reviews, vol. 23, no. 3, pp. 467–492, 2010.</w:t>
      </w:r>
    </w:p>
    <w:p w14:paraId="3B7376C1" w14:textId="20250821" w:rsidR="008C7D98" w:rsidRPr="000F0AB2" w:rsidRDefault="00207E5A" w:rsidP="003D7BEA">
      <w:pPr>
        <w:pStyle w:val="ListParagraph"/>
        <w:numPr>
          <w:ilvl w:val="0"/>
          <w:numId w:val="1"/>
        </w:numPr>
        <w:spacing w:after="0" w:line="240" w:lineRule="auto"/>
        <w:jc w:val="both"/>
        <w:rPr>
          <w:rFonts w:asciiTheme="majorHAnsi" w:hAnsiTheme="majorHAnsi" w:cstheme="majorHAnsi"/>
          <w:sz w:val="20"/>
        </w:rPr>
      </w:pPr>
      <w:proofErr w:type="spellStart"/>
      <w:r w:rsidRPr="000F0AB2">
        <w:rPr>
          <w:sz w:val="18"/>
        </w:rPr>
        <w:t>Franciotta</w:t>
      </w:r>
      <w:proofErr w:type="spellEnd"/>
      <w:r w:rsidRPr="000F0AB2">
        <w:rPr>
          <w:sz w:val="18"/>
        </w:rPr>
        <w:t xml:space="preserve">, D., Columba-Cabezas, S., </w:t>
      </w:r>
      <w:proofErr w:type="spellStart"/>
      <w:r w:rsidRPr="000F0AB2">
        <w:rPr>
          <w:sz w:val="18"/>
        </w:rPr>
        <w:t>Andreoni</w:t>
      </w:r>
      <w:proofErr w:type="spellEnd"/>
      <w:r w:rsidRPr="000F0AB2">
        <w:rPr>
          <w:sz w:val="18"/>
        </w:rPr>
        <w:t xml:space="preserve">, L., </w:t>
      </w:r>
      <w:proofErr w:type="spellStart"/>
      <w:r w:rsidRPr="000F0AB2">
        <w:rPr>
          <w:sz w:val="18"/>
        </w:rPr>
        <w:t>Ravaglia</w:t>
      </w:r>
      <w:proofErr w:type="spellEnd"/>
      <w:r w:rsidRPr="000F0AB2">
        <w:rPr>
          <w:sz w:val="18"/>
        </w:rPr>
        <w:t xml:space="preserve">, S., </w:t>
      </w:r>
      <w:proofErr w:type="spellStart"/>
      <w:r w:rsidRPr="000F0AB2">
        <w:rPr>
          <w:sz w:val="18"/>
        </w:rPr>
        <w:t>Jarius</w:t>
      </w:r>
      <w:proofErr w:type="spellEnd"/>
      <w:r w:rsidRPr="000F0AB2">
        <w:rPr>
          <w:sz w:val="18"/>
        </w:rPr>
        <w:t xml:space="preserve">, S., Romagnolo, S., </w:t>
      </w:r>
      <w:proofErr w:type="spellStart"/>
      <w:r w:rsidRPr="000F0AB2">
        <w:rPr>
          <w:sz w:val="18"/>
        </w:rPr>
        <w:t>Tavazzi</w:t>
      </w:r>
      <w:proofErr w:type="spellEnd"/>
      <w:r w:rsidRPr="000F0AB2">
        <w:rPr>
          <w:sz w:val="18"/>
        </w:rPr>
        <w:t xml:space="preserve">, E., Bergamaschi, R., </w:t>
      </w:r>
      <w:proofErr w:type="spellStart"/>
      <w:r w:rsidRPr="000F0AB2">
        <w:rPr>
          <w:sz w:val="18"/>
        </w:rPr>
        <w:t>Zardini</w:t>
      </w:r>
      <w:proofErr w:type="spellEnd"/>
      <w:r w:rsidRPr="000F0AB2">
        <w:rPr>
          <w:sz w:val="18"/>
        </w:rPr>
        <w:t xml:space="preserve">, E., </w:t>
      </w:r>
      <w:proofErr w:type="spellStart"/>
      <w:r w:rsidRPr="000F0AB2">
        <w:rPr>
          <w:sz w:val="18"/>
        </w:rPr>
        <w:t>Aloisi</w:t>
      </w:r>
      <w:proofErr w:type="spellEnd"/>
      <w:r w:rsidRPr="000F0AB2">
        <w:rPr>
          <w:sz w:val="18"/>
        </w:rPr>
        <w:t xml:space="preserve">, F. and </w:t>
      </w:r>
      <w:proofErr w:type="spellStart"/>
      <w:r w:rsidRPr="000F0AB2">
        <w:rPr>
          <w:sz w:val="18"/>
        </w:rPr>
        <w:t>Marchioni</w:t>
      </w:r>
      <w:proofErr w:type="spellEnd"/>
      <w:r w:rsidRPr="000F0AB2">
        <w:rPr>
          <w:sz w:val="18"/>
        </w:rPr>
        <w:t>, E. (2008). Oligoclonal IgG band patterns in inflammatory demyelinating human and mouse diseases. Journal of Neuroimmunology, 200(1-2), pp.125-128.</w:t>
      </w:r>
    </w:p>
    <w:p w14:paraId="47B5AE48" w14:textId="7CE54FB6" w:rsidR="000F0AB2" w:rsidRDefault="000F0AB2" w:rsidP="000F0AB2">
      <w:pPr>
        <w:spacing w:after="0" w:line="240" w:lineRule="auto"/>
        <w:jc w:val="both"/>
        <w:rPr>
          <w:rFonts w:asciiTheme="majorHAnsi" w:hAnsiTheme="majorHAnsi" w:cstheme="majorHAnsi"/>
          <w:sz w:val="20"/>
        </w:rPr>
      </w:pPr>
    </w:p>
    <w:p w14:paraId="042FE817" w14:textId="3CE76E48" w:rsidR="000F0AB2" w:rsidRDefault="000F0AB2" w:rsidP="000F0AB2">
      <w:pPr>
        <w:spacing w:after="0" w:line="240" w:lineRule="auto"/>
        <w:jc w:val="both"/>
        <w:rPr>
          <w:rFonts w:asciiTheme="majorHAnsi" w:hAnsiTheme="majorHAnsi" w:cstheme="majorHAnsi"/>
          <w:sz w:val="20"/>
        </w:rPr>
      </w:pPr>
    </w:p>
    <w:p w14:paraId="157E9547" w14:textId="34318575" w:rsidR="000F0AB2" w:rsidRDefault="000F0AB2" w:rsidP="000F0AB2">
      <w:pPr>
        <w:spacing w:after="0" w:line="240" w:lineRule="auto"/>
        <w:jc w:val="both"/>
        <w:rPr>
          <w:rFonts w:asciiTheme="majorHAnsi" w:hAnsiTheme="majorHAnsi" w:cstheme="majorHAnsi"/>
          <w:sz w:val="20"/>
        </w:rPr>
      </w:pPr>
    </w:p>
    <w:p w14:paraId="6AD9A9F9" w14:textId="3B5AB8CF" w:rsidR="000F0AB2" w:rsidRPr="000F0AB2" w:rsidRDefault="000F0AB2" w:rsidP="000F0AB2">
      <w:pPr>
        <w:spacing w:after="0" w:line="240" w:lineRule="auto"/>
        <w:jc w:val="both"/>
        <w:rPr>
          <w:rFonts w:cstheme="minorHAnsi"/>
          <w:sz w:val="24"/>
        </w:rPr>
      </w:pPr>
    </w:p>
    <w:p w14:paraId="0FC94260" w14:textId="77777777" w:rsidR="000F0AB2" w:rsidRPr="000F0AB2" w:rsidRDefault="000F0AB2" w:rsidP="000F0AB2">
      <w:pPr>
        <w:spacing w:before="41" w:line="154" w:lineRule="exact"/>
        <w:ind w:left="213" w:right="231"/>
        <w:jc w:val="both"/>
        <w:rPr>
          <w:rFonts w:cstheme="minorHAnsi"/>
          <w:sz w:val="18"/>
        </w:rPr>
        <w:sectPr w:rsidR="000F0AB2" w:rsidRPr="000F0AB2" w:rsidSect="00EE4735">
          <w:type w:val="continuous"/>
          <w:pgSz w:w="11906" w:h="16838" w:code="9"/>
          <w:pgMar w:top="720" w:right="720" w:bottom="720" w:left="720" w:header="706" w:footer="706" w:gutter="0"/>
          <w:cols w:num="2" w:space="708"/>
          <w:docGrid w:linePitch="360"/>
        </w:sectPr>
      </w:pPr>
    </w:p>
    <w:p w14:paraId="55D232D8" w14:textId="16235793" w:rsidR="000F0AB2" w:rsidRPr="000F0AB2" w:rsidRDefault="000F0AB2" w:rsidP="000F0AB2">
      <w:pPr>
        <w:spacing w:before="41" w:line="154" w:lineRule="exact"/>
        <w:ind w:left="213" w:right="231"/>
        <w:jc w:val="both"/>
        <w:rPr>
          <w:rFonts w:cstheme="minorHAnsi"/>
          <w:sz w:val="18"/>
        </w:rPr>
      </w:pPr>
      <w:r w:rsidRPr="000F0AB2">
        <w:rPr>
          <w:rFonts w:cstheme="minorHAnsi"/>
          <w:sz w:val="18"/>
        </w:rPr>
        <w:t>Rainier Mark Alegria, MD is an Internal Medicine Resident of Asian Hospital and Medical Center. He aspires to improve the quality of health-care in the Philippines by being very active in research and case publication.</w:t>
      </w:r>
    </w:p>
    <w:p w14:paraId="230912B4" w14:textId="77777777" w:rsidR="00645985" w:rsidRDefault="00645985" w:rsidP="000F0AB2">
      <w:pPr>
        <w:spacing w:after="0" w:line="240" w:lineRule="auto"/>
        <w:jc w:val="both"/>
        <w:rPr>
          <w:rFonts w:asciiTheme="majorHAnsi" w:hAnsiTheme="majorHAnsi" w:cstheme="majorHAnsi"/>
          <w:sz w:val="20"/>
        </w:rPr>
      </w:pPr>
      <w:bookmarkStart w:id="0" w:name="_GoBack"/>
      <w:bookmarkEnd w:id="0"/>
    </w:p>
    <w:p w14:paraId="31E89EE3" w14:textId="67682B04" w:rsidR="00645985" w:rsidRDefault="00645985" w:rsidP="00645985">
      <w:pPr>
        <w:spacing w:after="0" w:line="240" w:lineRule="auto"/>
        <w:jc w:val="center"/>
        <w:rPr>
          <w:rFonts w:asciiTheme="majorHAnsi" w:hAnsiTheme="majorHAnsi" w:cstheme="majorHAnsi"/>
          <w:sz w:val="20"/>
        </w:rPr>
        <w:sectPr w:rsidR="00645985" w:rsidSect="000F0AB2">
          <w:type w:val="continuous"/>
          <w:pgSz w:w="11906" w:h="16838" w:code="9"/>
          <w:pgMar w:top="720" w:right="720" w:bottom="720" w:left="2610" w:header="706" w:footer="706" w:gutter="0"/>
          <w:cols w:space="708"/>
          <w:docGrid w:linePitch="360"/>
        </w:sectPr>
      </w:pPr>
      <w:r>
        <w:rPr>
          <w:rFonts w:asciiTheme="majorHAnsi" w:hAnsiTheme="majorHAnsi" w:cstheme="majorHAnsi"/>
          <w:sz w:val="20"/>
        </w:rPr>
        <w:t>Email: rainier.alegria@gmail.com</w:t>
      </w:r>
    </w:p>
    <w:p w14:paraId="2270A0B6" w14:textId="63BF1FDA" w:rsidR="000F0AB2" w:rsidRPr="000F0AB2" w:rsidRDefault="000F0AB2" w:rsidP="000F0AB2">
      <w:pPr>
        <w:spacing w:after="0" w:line="240" w:lineRule="auto"/>
        <w:jc w:val="both"/>
        <w:rPr>
          <w:rFonts w:asciiTheme="majorHAnsi" w:hAnsiTheme="majorHAnsi" w:cstheme="majorHAnsi"/>
          <w:sz w:val="20"/>
        </w:rPr>
      </w:pPr>
    </w:p>
    <w:sectPr w:rsidR="000F0AB2" w:rsidRPr="000F0AB2" w:rsidSect="00EE4735">
      <w:type w:val="continuous"/>
      <w:pgSz w:w="11906" w:h="16838" w:code="9"/>
      <w:pgMar w:top="720" w:right="720" w:bottom="720" w:left="720" w:header="706" w:footer="706"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7E09AD"/>
    <w:multiLevelType w:val="hybridMultilevel"/>
    <w:tmpl w:val="ABC2BA46"/>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BEA"/>
    <w:rsid w:val="000F0AB2"/>
    <w:rsid w:val="00207E5A"/>
    <w:rsid w:val="00253B4D"/>
    <w:rsid w:val="0031022B"/>
    <w:rsid w:val="00313B98"/>
    <w:rsid w:val="003D7BEA"/>
    <w:rsid w:val="00645985"/>
    <w:rsid w:val="008C7D98"/>
    <w:rsid w:val="009B1E85"/>
    <w:rsid w:val="00AC65C2"/>
    <w:rsid w:val="00AE2694"/>
    <w:rsid w:val="00CB4CAA"/>
    <w:rsid w:val="00CC7EBF"/>
    <w:rsid w:val="00EE473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27FDC"/>
  <w15:chartTrackingRefBased/>
  <w15:docId w15:val="{CAF18B8C-5300-4D0C-B17A-973E351EE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022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Rainier Mark Alegria</dc:creator>
  <cp:keywords/>
  <dc:description/>
  <cp:lastModifiedBy>Rainier Mark Alegria</cp:lastModifiedBy>
  <cp:revision>2</cp:revision>
  <dcterms:created xsi:type="dcterms:W3CDTF">2018-08-25T17:07:00Z</dcterms:created>
  <dcterms:modified xsi:type="dcterms:W3CDTF">2018-08-25T17:07:00Z</dcterms:modified>
</cp:coreProperties>
</file>