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B20" w:rsidRDefault="00FE3B20" w:rsidP="00FE3B20">
      <w:pPr>
        <w:rPr>
          <w:rFonts w:ascii="Minion Pro" w:hAnsi="Minion Pro"/>
          <w:b/>
          <w:bCs/>
          <w:color w:val="0070C0"/>
          <w:sz w:val="36"/>
          <w:szCs w:val="36"/>
        </w:rPr>
      </w:pPr>
      <w:r>
        <w:rPr>
          <w:noProof/>
          <w:color w:val="17365D"/>
        </w:rPr>
        <w:drawing>
          <wp:anchor distT="0" distB="0" distL="114300" distR="114300" simplePos="0" relativeHeight="251661312" behindDoc="0" locked="0" layoutInCell="1" allowOverlap="1" wp14:anchorId="01122624" wp14:editId="304DEB5A">
            <wp:simplePos x="0" y="0"/>
            <wp:positionH relativeFrom="margin">
              <wp:posOffset>-63500</wp:posOffset>
            </wp:positionH>
            <wp:positionV relativeFrom="paragraph">
              <wp:posOffset>0</wp:posOffset>
            </wp:positionV>
            <wp:extent cx="875030" cy="573405"/>
            <wp:effectExtent l="0" t="0" r="1270" b="0"/>
            <wp:wrapSquare wrapText="bothSides"/>
            <wp:docPr id="15" name="Picture 15" descr="cid:image002.jpg@01D2BD01.44CA4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2BD01.44CA47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75030" cy="573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inion Pro" w:hAnsi="Minion Pro"/>
          <w:b/>
          <w:bCs/>
          <w:color w:val="0070C0"/>
          <w:sz w:val="36"/>
          <w:szCs w:val="36"/>
        </w:rPr>
        <w:t xml:space="preserve">    </w:t>
      </w:r>
      <w:r>
        <w:rPr>
          <w:rFonts w:ascii="Cambria" w:hAnsi="Cambria"/>
          <w:noProof/>
          <w:color w:val="17365D"/>
          <w:sz w:val="20"/>
          <w:szCs w:val="20"/>
        </w:rPr>
        <w:drawing>
          <wp:inline distT="0" distB="0" distL="0" distR="0" wp14:anchorId="0528DB40" wp14:editId="0B6FCE44">
            <wp:extent cx="1308100" cy="539750"/>
            <wp:effectExtent l="0" t="0" r="6350" b="0"/>
            <wp:docPr id="16" name="Picture 16" descr="cid:image011.jpg@01D2BD01.44CA4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11.jpg@01D2BD01.44CA47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349906" cy="557000"/>
                    </a:xfrm>
                    <a:prstGeom prst="rect">
                      <a:avLst/>
                    </a:prstGeom>
                    <a:noFill/>
                    <a:ln>
                      <a:noFill/>
                    </a:ln>
                  </pic:spPr>
                </pic:pic>
              </a:graphicData>
            </a:graphic>
          </wp:inline>
        </w:drawing>
      </w:r>
      <w:bookmarkStart w:id="0" w:name="_GoBack"/>
      <w:bookmarkEnd w:id="0"/>
    </w:p>
    <w:p w:rsidR="00FE3B20" w:rsidRDefault="00FE3B20" w:rsidP="00FE3B20">
      <w:pPr>
        <w:jc w:val="center"/>
        <w:rPr>
          <w:rFonts w:ascii="Minion Pro" w:hAnsi="Minion Pro"/>
          <w:b/>
          <w:bCs/>
          <w:color w:val="0070C0"/>
          <w:sz w:val="36"/>
          <w:szCs w:val="36"/>
        </w:rPr>
      </w:pPr>
    </w:p>
    <w:p w:rsidR="004341BB" w:rsidRPr="004341BB" w:rsidRDefault="004341BB" w:rsidP="00FE3B20">
      <w:pPr>
        <w:jc w:val="center"/>
        <w:rPr>
          <w:rFonts w:ascii="Minion Pro" w:hAnsi="Minion Pro"/>
          <w:b/>
          <w:bCs/>
          <w:color w:val="0070C0"/>
          <w:sz w:val="36"/>
          <w:szCs w:val="36"/>
        </w:rPr>
      </w:pPr>
      <w:r w:rsidRPr="004341BB">
        <w:rPr>
          <w:rFonts w:ascii="Minion Pro" w:hAnsi="Minion Pro"/>
          <w:b/>
          <w:bCs/>
          <w:color w:val="0070C0"/>
          <w:sz w:val="36"/>
          <w:szCs w:val="36"/>
        </w:rPr>
        <w:t xml:space="preserve">Molecular characterization of extended spectrum beta-lactamases producing </w:t>
      </w:r>
      <w:proofErr w:type="spellStart"/>
      <w:r w:rsidRPr="004341BB">
        <w:rPr>
          <w:rFonts w:ascii="Minion Pro" w:hAnsi="Minion Pro"/>
          <w:b/>
          <w:bCs/>
          <w:color w:val="0070C0"/>
          <w:sz w:val="36"/>
          <w:szCs w:val="36"/>
        </w:rPr>
        <w:t>Enterobacteriaceae</w:t>
      </w:r>
      <w:proofErr w:type="spellEnd"/>
      <w:r w:rsidRPr="004341BB">
        <w:rPr>
          <w:rFonts w:ascii="Minion Pro" w:hAnsi="Minion Pro"/>
          <w:b/>
          <w:bCs/>
          <w:color w:val="0070C0"/>
          <w:sz w:val="36"/>
          <w:szCs w:val="36"/>
        </w:rPr>
        <w:t xml:space="preserve"> causing lower urinary tract infection in pediatric population</w:t>
      </w:r>
    </w:p>
    <w:p w:rsidR="00AE3E37" w:rsidRPr="004341BB" w:rsidRDefault="00AE3E37">
      <w:pPr>
        <w:pStyle w:val="BodyText"/>
        <w:rPr>
          <w:rFonts w:ascii="Times New Roman"/>
          <w:color w:val="0070C0"/>
          <w:sz w:val="20"/>
        </w:rPr>
      </w:pPr>
    </w:p>
    <w:p w:rsidR="004341BB" w:rsidRPr="004341BB" w:rsidRDefault="004341BB">
      <w:pPr>
        <w:pStyle w:val="BodyText"/>
        <w:rPr>
          <w:rFonts w:ascii="Times New Roman"/>
          <w:color w:val="0070C0"/>
          <w:sz w:val="20"/>
        </w:rPr>
      </w:pPr>
    </w:p>
    <w:p w:rsidR="00AE3E37" w:rsidRPr="00426CD2" w:rsidRDefault="004341BB" w:rsidP="004341BB">
      <w:pPr>
        <w:pStyle w:val="BodyText"/>
        <w:spacing w:before="73" w:line="198" w:lineRule="exact"/>
        <w:ind w:left="100" w:right="5967"/>
        <w:rPr>
          <w:rFonts w:ascii="Arial"/>
          <w:b/>
          <w:bCs/>
          <w:sz w:val="20"/>
        </w:rPr>
      </w:pPr>
      <w:r w:rsidRPr="00426CD2">
        <w:rPr>
          <w:rFonts w:ascii="Arial"/>
          <w:b/>
          <w:bCs/>
          <w:highlight w:val="yellow"/>
        </w:rPr>
        <w:t>Eltai, N Omer</w:t>
      </w:r>
      <w:proofErr w:type="gramStart"/>
      <w:r w:rsidRPr="00426CD2">
        <w:rPr>
          <w:rFonts w:ascii="Arial"/>
          <w:b/>
          <w:bCs/>
          <w:highlight w:val="yellow"/>
        </w:rPr>
        <w:t xml:space="preserve">, </w:t>
      </w:r>
      <w:r w:rsidR="00A9710C" w:rsidRPr="00426CD2">
        <w:rPr>
          <w:rFonts w:ascii="Arial"/>
          <w:b/>
          <w:bCs/>
          <w:highlight w:val="yellow"/>
        </w:rPr>
        <w:t xml:space="preserve"> Ph</w:t>
      </w:r>
      <w:proofErr w:type="gramEnd"/>
      <w:r w:rsidRPr="00426CD2">
        <w:rPr>
          <w:rFonts w:ascii="Arial"/>
          <w:b/>
          <w:bCs/>
          <w:highlight w:val="yellow"/>
        </w:rPr>
        <w:t>.</w:t>
      </w:r>
      <w:r w:rsidR="00896F55">
        <w:rPr>
          <w:rFonts w:ascii="Arial"/>
          <w:b/>
          <w:bCs/>
          <w:highlight w:val="yellow"/>
        </w:rPr>
        <w:t xml:space="preserve"> </w:t>
      </w:r>
      <w:r w:rsidR="00A9710C" w:rsidRPr="00426CD2">
        <w:rPr>
          <w:rFonts w:ascii="Arial"/>
          <w:b/>
          <w:bCs/>
          <w:highlight w:val="yellow"/>
        </w:rPr>
        <w:t xml:space="preserve">D, </w:t>
      </w:r>
      <w:r w:rsidRPr="00426CD2">
        <w:rPr>
          <w:rFonts w:ascii="Arial"/>
          <w:b/>
          <w:bCs/>
          <w:highlight w:val="yellow"/>
        </w:rPr>
        <w:t xml:space="preserve"> BRC, Qatar University, Qatar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11"/>
          <w:footerReference w:type="default" r:id="rId12"/>
          <w:type w:val="continuous"/>
          <w:pgSz w:w="11910" w:h="16840"/>
          <w:pgMar w:top="1740" w:right="600" w:bottom="840" w:left="620" w:header="541" w:footer="642" w:gutter="0"/>
          <w:cols w:space="720"/>
        </w:sectPr>
      </w:pPr>
    </w:p>
    <w:p w:rsidR="00AE3E37" w:rsidRDefault="00A9710C" w:rsidP="004D3CD5">
      <w:pPr>
        <w:pStyle w:val="Heading3"/>
        <w:spacing w:before="147"/>
        <w:ind w:left="0"/>
        <w:jc w:val="both"/>
        <w:rPr>
          <w:color w:val="BF5A14"/>
        </w:rPr>
      </w:pPr>
      <w:r>
        <w:rPr>
          <w:color w:val="BF5A14"/>
        </w:rPr>
        <w:t>Abstract</w:t>
      </w:r>
      <w:r w:rsidR="00404E5B">
        <w:rPr>
          <w:color w:val="BF5A14"/>
        </w:rPr>
        <w:t xml:space="preserve"> </w:t>
      </w:r>
      <w:r w:rsidR="00404E5B" w:rsidRPr="00A0419B">
        <w:rPr>
          <w:color w:val="BF5A14"/>
          <w:highlight w:val="yellow"/>
        </w:rPr>
        <w:t>(300 word limit)</w:t>
      </w:r>
    </w:p>
    <w:p w:rsidR="003F2C0C" w:rsidRDefault="003F2C0C" w:rsidP="004D3CD5">
      <w:pPr>
        <w:pStyle w:val="Heading3"/>
        <w:spacing w:before="147"/>
        <w:ind w:left="0"/>
        <w:jc w:val="both"/>
      </w:pPr>
    </w:p>
    <w:p w:rsidR="004D3CD5" w:rsidRPr="004D3CD5" w:rsidRDefault="004D3CD5" w:rsidP="00425E03">
      <w:pPr>
        <w:jc w:val="both"/>
        <w:rPr>
          <w:sz w:val="18"/>
          <w:szCs w:val="18"/>
        </w:rPr>
      </w:pPr>
      <w:r w:rsidRPr="004D3CD5">
        <w:rPr>
          <w:sz w:val="18"/>
          <w:szCs w:val="18"/>
        </w:rPr>
        <w:t xml:space="preserve"> Urinary Tract Infections (UTIs) continue to be the one of the most common cause of infections in pediatric patients in the community. It is important to identify significant </w:t>
      </w:r>
      <w:r w:rsidR="00A33262">
        <w:rPr>
          <w:sz w:val="18"/>
          <w:szCs w:val="18"/>
        </w:rPr>
        <w:t xml:space="preserve">trend on anti-microbial </w:t>
      </w:r>
      <w:r w:rsidR="00425E03">
        <w:rPr>
          <w:sz w:val="18"/>
          <w:szCs w:val="18"/>
        </w:rPr>
        <w:t xml:space="preserve">resistance </w:t>
      </w:r>
      <w:r w:rsidR="00A33262">
        <w:rPr>
          <w:sz w:val="18"/>
          <w:szCs w:val="18"/>
        </w:rPr>
        <w:t>that</w:t>
      </w:r>
      <w:r w:rsidRPr="004D3CD5">
        <w:rPr>
          <w:sz w:val="18"/>
          <w:szCs w:val="18"/>
        </w:rPr>
        <w:t xml:space="preserve"> may influence empirical treatment &amp; antibiotic stewardship. This study was designed with an objective of determining the prevalence of resistance mechanisms in ESBL producing </w:t>
      </w:r>
      <w:proofErr w:type="spellStart"/>
      <w:r w:rsidRPr="004D3CD5">
        <w:rPr>
          <w:sz w:val="18"/>
          <w:szCs w:val="18"/>
        </w:rPr>
        <w:t>Enterobacteriaceae</w:t>
      </w:r>
      <w:proofErr w:type="spellEnd"/>
      <w:r w:rsidRPr="004D3CD5">
        <w:rPr>
          <w:sz w:val="18"/>
          <w:szCs w:val="18"/>
        </w:rPr>
        <w:t xml:space="preserve"> isolated from pediatric patients attending Pediatrics clinic (PEC) Al </w:t>
      </w:r>
      <w:proofErr w:type="gramStart"/>
      <w:r w:rsidRPr="004D3CD5">
        <w:rPr>
          <w:sz w:val="18"/>
          <w:szCs w:val="18"/>
        </w:rPr>
        <w:t>Saad</w:t>
      </w:r>
      <w:r w:rsidR="00CF473A">
        <w:rPr>
          <w:sz w:val="18"/>
          <w:szCs w:val="18"/>
        </w:rPr>
        <w:t xml:space="preserve"> ,</w:t>
      </w:r>
      <w:proofErr w:type="gramEnd"/>
      <w:r w:rsidR="00CF473A">
        <w:rPr>
          <w:sz w:val="18"/>
          <w:szCs w:val="18"/>
        </w:rPr>
        <w:t xml:space="preserve"> Qata</w:t>
      </w:r>
      <w:r w:rsidR="00D43DE3">
        <w:rPr>
          <w:sz w:val="18"/>
          <w:szCs w:val="18"/>
        </w:rPr>
        <w:t>r</w:t>
      </w:r>
      <w:r w:rsidRPr="004D3CD5">
        <w:rPr>
          <w:sz w:val="18"/>
          <w:szCs w:val="18"/>
        </w:rPr>
        <w:t>.</w:t>
      </w:r>
    </w:p>
    <w:p w:rsidR="004D3CD5" w:rsidRPr="004D3CD5" w:rsidRDefault="004D3CD5" w:rsidP="004D3CD5">
      <w:pPr>
        <w:jc w:val="both"/>
        <w:rPr>
          <w:sz w:val="18"/>
          <w:szCs w:val="18"/>
        </w:rPr>
      </w:pPr>
    </w:p>
    <w:p w:rsidR="004D3CD5" w:rsidRPr="004D3CD5" w:rsidRDefault="004D3CD5" w:rsidP="00425E03">
      <w:pPr>
        <w:jc w:val="both"/>
        <w:rPr>
          <w:sz w:val="18"/>
          <w:szCs w:val="18"/>
        </w:rPr>
      </w:pPr>
      <w:r w:rsidRPr="004D3CD5">
        <w:rPr>
          <w:sz w:val="18"/>
          <w:szCs w:val="18"/>
        </w:rPr>
        <w:t xml:space="preserve"> The isolates </w:t>
      </w:r>
      <w:proofErr w:type="gramStart"/>
      <w:r w:rsidRPr="004D3CD5">
        <w:rPr>
          <w:sz w:val="18"/>
          <w:szCs w:val="18"/>
        </w:rPr>
        <w:t>were identified</w:t>
      </w:r>
      <w:proofErr w:type="gramEnd"/>
      <w:r w:rsidRPr="004D3CD5">
        <w:rPr>
          <w:sz w:val="18"/>
          <w:szCs w:val="18"/>
        </w:rPr>
        <w:t xml:space="preserve"> by MALDI-TOF and phenotypic antimicrobial susceptibility </w:t>
      </w:r>
      <w:r w:rsidR="00DE2D00" w:rsidRPr="004D3CD5">
        <w:rPr>
          <w:sz w:val="18"/>
          <w:szCs w:val="18"/>
        </w:rPr>
        <w:t>testing</w:t>
      </w:r>
      <w:r w:rsidRPr="004D3CD5">
        <w:rPr>
          <w:sz w:val="18"/>
          <w:szCs w:val="18"/>
        </w:rPr>
        <w:t xml:space="preserve"> was performed by BD Phoenix and confirmed by double disk synergetic test (DDST). PCR and multiplex PCR-</w:t>
      </w:r>
      <w:proofErr w:type="gramStart"/>
      <w:r w:rsidRPr="004D3CD5">
        <w:rPr>
          <w:sz w:val="18"/>
          <w:szCs w:val="18"/>
        </w:rPr>
        <w:t>were performed</w:t>
      </w:r>
      <w:proofErr w:type="gramEnd"/>
      <w:r w:rsidRPr="004D3CD5">
        <w:rPr>
          <w:sz w:val="18"/>
          <w:szCs w:val="18"/>
        </w:rPr>
        <w:t xml:space="preserve"> for molecular characterizat</w:t>
      </w:r>
      <w:r w:rsidR="00425E03">
        <w:rPr>
          <w:sz w:val="18"/>
          <w:szCs w:val="18"/>
        </w:rPr>
        <w:t>ion of different groups of ESBL.</w:t>
      </w:r>
    </w:p>
    <w:p w:rsidR="004D3CD5" w:rsidRPr="004D3CD5" w:rsidRDefault="004D3CD5" w:rsidP="004D3CD5">
      <w:pPr>
        <w:jc w:val="both"/>
        <w:rPr>
          <w:sz w:val="18"/>
          <w:szCs w:val="18"/>
        </w:rPr>
      </w:pPr>
    </w:p>
    <w:p w:rsidR="004D3CD5" w:rsidRPr="004D3CD5" w:rsidRDefault="004D3CD5" w:rsidP="001E2A20">
      <w:pPr>
        <w:jc w:val="both"/>
        <w:rPr>
          <w:sz w:val="18"/>
          <w:szCs w:val="18"/>
        </w:rPr>
      </w:pPr>
      <w:r w:rsidRPr="004D3CD5">
        <w:rPr>
          <w:color w:val="1F497D"/>
          <w:sz w:val="18"/>
          <w:szCs w:val="18"/>
        </w:rPr>
        <w:t xml:space="preserve"> </w:t>
      </w:r>
      <w:r w:rsidRPr="004D3CD5">
        <w:rPr>
          <w:sz w:val="18"/>
          <w:szCs w:val="18"/>
        </w:rPr>
        <w:t xml:space="preserve">Out of a total of 566 positive urine cultures, </w:t>
      </w:r>
      <w:r w:rsidRPr="004D3CD5">
        <w:rPr>
          <w:i/>
          <w:iCs/>
          <w:sz w:val="18"/>
          <w:szCs w:val="18"/>
        </w:rPr>
        <w:t>E. coli</w:t>
      </w:r>
      <w:r w:rsidRPr="004D3CD5">
        <w:rPr>
          <w:sz w:val="18"/>
          <w:szCs w:val="18"/>
        </w:rPr>
        <w:t xml:space="preserve">  (84 %) was the most predominant </w:t>
      </w:r>
      <w:proofErr w:type="spellStart"/>
      <w:r w:rsidRPr="004D3CD5">
        <w:rPr>
          <w:sz w:val="18"/>
          <w:szCs w:val="18"/>
        </w:rPr>
        <w:t>uropathogen</w:t>
      </w:r>
      <w:proofErr w:type="spellEnd"/>
      <w:r w:rsidRPr="004D3CD5">
        <w:rPr>
          <w:sz w:val="18"/>
          <w:szCs w:val="18"/>
        </w:rPr>
        <w:t xml:space="preserve"> followed by </w:t>
      </w:r>
      <w:r w:rsidRPr="004D3CD5">
        <w:rPr>
          <w:i/>
          <w:iCs/>
          <w:sz w:val="18"/>
          <w:szCs w:val="18"/>
        </w:rPr>
        <w:t>K. pneumoniae</w:t>
      </w:r>
      <w:r w:rsidRPr="004D3CD5">
        <w:rPr>
          <w:sz w:val="18"/>
          <w:szCs w:val="18"/>
        </w:rPr>
        <w:t xml:space="preserve"> (11%)</w:t>
      </w:r>
      <w:r w:rsidR="001E2A20">
        <w:rPr>
          <w:sz w:val="18"/>
          <w:szCs w:val="18"/>
        </w:rPr>
        <w:t xml:space="preserve"> and </w:t>
      </w:r>
      <w:r w:rsidR="001E2A20" w:rsidRPr="004D3CD5">
        <w:rPr>
          <w:sz w:val="18"/>
          <w:szCs w:val="18"/>
        </w:rPr>
        <w:t xml:space="preserve">197 (34.8 %) were found to be ESBL producing </w:t>
      </w:r>
      <w:proofErr w:type="spellStart"/>
      <w:r w:rsidR="001E2A20" w:rsidRPr="004D3CD5">
        <w:rPr>
          <w:sz w:val="18"/>
          <w:szCs w:val="18"/>
        </w:rPr>
        <w:t>Enterobacteriaceae</w:t>
      </w:r>
      <w:proofErr w:type="spellEnd"/>
      <w:r w:rsidR="001E2A20" w:rsidRPr="004D3CD5">
        <w:rPr>
          <w:sz w:val="18"/>
          <w:szCs w:val="18"/>
        </w:rPr>
        <w:t xml:space="preserve"> isolates</w:t>
      </w:r>
      <w:r w:rsidR="001E2A20">
        <w:rPr>
          <w:sz w:val="18"/>
          <w:szCs w:val="18"/>
        </w:rPr>
        <w:t xml:space="preserve">. </w:t>
      </w:r>
      <w:r w:rsidRPr="004D3CD5">
        <w:rPr>
          <w:sz w:val="18"/>
          <w:szCs w:val="18"/>
        </w:rPr>
        <w:t xml:space="preserve">Male to female ratio was 1: 4.7.  </w:t>
      </w:r>
    </w:p>
    <w:p w:rsidR="004D3CD5" w:rsidRPr="004D3CD5" w:rsidRDefault="004D3CD5" w:rsidP="004D3CD5">
      <w:pPr>
        <w:jc w:val="both"/>
        <w:rPr>
          <w:sz w:val="18"/>
          <w:szCs w:val="18"/>
        </w:rPr>
      </w:pPr>
    </w:p>
    <w:p w:rsidR="004D3CD5" w:rsidRPr="004D3CD5" w:rsidRDefault="004D3CD5" w:rsidP="004D3CD5">
      <w:pPr>
        <w:jc w:val="both"/>
        <w:rPr>
          <w:sz w:val="18"/>
          <w:szCs w:val="18"/>
        </w:rPr>
      </w:pPr>
      <w:r w:rsidRPr="004D3CD5">
        <w:rPr>
          <w:sz w:val="18"/>
          <w:szCs w:val="18"/>
        </w:rPr>
        <w:t xml:space="preserve">Of these positive ESBL isolates, 119 were included in our study with </w:t>
      </w:r>
      <w:r w:rsidRPr="004D3CD5">
        <w:rPr>
          <w:i/>
          <w:iCs/>
          <w:sz w:val="18"/>
          <w:szCs w:val="18"/>
        </w:rPr>
        <w:t>E. coli</w:t>
      </w:r>
      <w:r w:rsidRPr="004D3CD5">
        <w:rPr>
          <w:sz w:val="18"/>
          <w:szCs w:val="18"/>
        </w:rPr>
        <w:t xml:space="preserve"> being the </w:t>
      </w:r>
      <w:proofErr w:type="spellStart"/>
      <w:r w:rsidRPr="004D3CD5">
        <w:rPr>
          <w:sz w:val="18"/>
          <w:szCs w:val="18"/>
        </w:rPr>
        <w:t>predmajorominant</w:t>
      </w:r>
      <w:proofErr w:type="spellEnd"/>
      <w:r w:rsidRPr="004D3CD5">
        <w:rPr>
          <w:sz w:val="18"/>
          <w:szCs w:val="18"/>
        </w:rPr>
        <w:t xml:space="preserve"> isolate 104 (87.4%), followed by </w:t>
      </w:r>
      <w:r w:rsidRPr="004D3CD5">
        <w:rPr>
          <w:i/>
          <w:iCs/>
          <w:sz w:val="18"/>
          <w:szCs w:val="18"/>
        </w:rPr>
        <w:t>k. pneumonia</w:t>
      </w:r>
      <w:r w:rsidRPr="004D3CD5">
        <w:rPr>
          <w:sz w:val="18"/>
          <w:szCs w:val="18"/>
        </w:rPr>
        <w:t xml:space="preserve">  13 (11%) then </w:t>
      </w:r>
      <w:r w:rsidRPr="004D3CD5">
        <w:rPr>
          <w:i/>
          <w:iCs/>
          <w:sz w:val="18"/>
          <w:szCs w:val="18"/>
        </w:rPr>
        <w:t>E. cloacae</w:t>
      </w:r>
      <w:r w:rsidRPr="004D3CD5">
        <w:rPr>
          <w:sz w:val="18"/>
          <w:szCs w:val="18"/>
        </w:rPr>
        <w:t xml:space="preserve"> 1(0.8%) and </w:t>
      </w:r>
      <w:r w:rsidRPr="004D3CD5">
        <w:rPr>
          <w:i/>
          <w:iCs/>
          <w:sz w:val="18"/>
          <w:szCs w:val="18"/>
        </w:rPr>
        <w:t xml:space="preserve">C. </w:t>
      </w:r>
      <w:proofErr w:type="spellStart"/>
      <w:r w:rsidRPr="004D3CD5">
        <w:rPr>
          <w:i/>
          <w:iCs/>
          <w:sz w:val="18"/>
          <w:szCs w:val="18"/>
        </w:rPr>
        <w:t>koseri</w:t>
      </w:r>
      <w:proofErr w:type="spellEnd"/>
      <w:r w:rsidRPr="004D3CD5">
        <w:rPr>
          <w:sz w:val="18"/>
          <w:szCs w:val="18"/>
        </w:rPr>
        <w:t xml:space="preserve"> 1 (0.8%).</w:t>
      </w:r>
    </w:p>
    <w:p w:rsidR="004D3CD5" w:rsidRDefault="004D3CD5" w:rsidP="004D3CD5">
      <w:pPr>
        <w:jc w:val="both"/>
        <w:rPr>
          <w:sz w:val="18"/>
          <w:szCs w:val="18"/>
        </w:rPr>
      </w:pPr>
    </w:p>
    <w:p w:rsidR="004D3CD5" w:rsidRDefault="004D3CD5" w:rsidP="004D3CD5">
      <w:pPr>
        <w:jc w:val="both"/>
        <w:rPr>
          <w:sz w:val="18"/>
          <w:szCs w:val="18"/>
        </w:rPr>
      </w:pPr>
    </w:p>
    <w:p w:rsidR="004D3CD5" w:rsidRDefault="004D3CD5" w:rsidP="004D3CD5">
      <w:pPr>
        <w:jc w:val="both"/>
        <w:rPr>
          <w:sz w:val="18"/>
          <w:szCs w:val="18"/>
        </w:rPr>
      </w:pPr>
    </w:p>
    <w:p w:rsidR="004D3CD5" w:rsidRDefault="004D3CD5" w:rsidP="004D3CD5">
      <w:pPr>
        <w:jc w:val="both"/>
        <w:rPr>
          <w:sz w:val="18"/>
          <w:szCs w:val="18"/>
        </w:rPr>
      </w:pPr>
      <w:r w:rsidRPr="004D3CD5">
        <w:rPr>
          <w:sz w:val="18"/>
          <w:szCs w:val="18"/>
        </w:rPr>
        <w:t xml:space="preserve">TXM </w:t>
      </w:r>
      <w:proofErr w:type="gramStart"/>
      <w:r w:rsidRPr="004D3CD5">
        <w:rPr>
          <w:sz w:val="18"/>
          <w:szCs w:val="18"/>
        </w:rPr>
        <w:t>was found</w:t>
      </w:r>
      <w:proofErr w:type="gramEnd"/>
      <w:r w:rsidRPr="004D3CD5">
        <w:rPr>
          <w:sz w:val="18"/>
          <w:szCs w:val="18"/>
        </w:rPr>
        <w:t xml:space="preserve"> to be the most</w:t>
      </w:r>
      <w:r w:rsidR="005803C1">
        <w:rPr>
          <w:sz w:val="18"/>
          <w:szCs w:val="18"/>
        </w:rPr>
        <w:t xml:space="preserve"> gene responsible for 63% of ESBL, followed by TEM 23.5</w:t>
      </w:r>
      <w:r w:rsidRPr="004D3CD5">
        <w:rPr>
          <w:sz w:val="18"/>
          <w:szCs w:val="18"/>
        </w:rPr>
        <w:t xml:space="preserve"> then</w:t>
      </w:r>
      <w:r w:rsidR="005803C1">
        <w:rPr>
          <w:sz w:val="18"/>
          <w:szCs w:val="18"/>
        </w:rPr>
        <w:t xml:space="preserve"> a combination of TEM and SHV 9.2</w:t>
      </w:r>
      <w:r w:rsidRPr="004D3CD5">
        <w:rPr>
          <w:sz w:val="18"/>
          <w:szCs w:val="18"/>
        </w:rPr>
        <w:t>%</w:t>
      </w:r>
      <w:r w:rsidR="005803C1">
        <w:rPr>
          <w:sz w:val="18"/>
          <w:szCs w:val="18"/>
        </w:rPr>
        <w:t xml:space="preserve"> and 4.2% were due to SHV.</w:t>
      </w:r>
    </w:p>
    <w:p w:rsidR="004D3CD5" w:rsidRDefault="004D3CD5" w:rsidP="004D3CD5">
      <w:pPr>
        <w:jc w:val="both"/>
        <w:rPr>
          <w:sz w:val="18"/>
          <w:szCs w:val="18"/>
        </w:rPr>
      </w:pPr>
    </w:p>
    <w:p w:rsidR="00AE3E37" w:rsidRPr="004D3CD5" w:rsidRDefault="004D3CD5" w:rsidP="00ED11C8">
      <w:pPr>
        <w:jc w:val="both"/>
        <w:rPr>
          <w:sz w:val="18"/>
          <w:szCs w:val="18"/>
        </w:rPr>
      </w:pPr>
      <w:r w:rsidRPr="004D3CD5">
        <w:rPr>
          <w:sz w:val="18"/>
          <w:szCs w:val="18"/>
        </w:rPr>
        <w:t xml:space="preserve">In </w:t>
      </w:r>
      <w:r w:rsidR="00EC2616" w:rsidRPr="004D3CD5">
        <w:rPr>
          <w:sz w:val="18"/>
          <w:szCs w:val="18"/>
        </w:rPr>
        <w:t>conclusion,</w:t>
      </w:r>
      <w:r w:rsidRPr="004D3CD5">
        <w:rPr>
          <w:sz w:val="18"/>
          <w:szCs w:val="18"/>
        </w:rPr>
        <w:t xml:space="preserve"> t</w:t>
      </w:r>
      <w:r w:rsidRPr="004D3CD5">
        <w:rPr>
          <w:sz w:val="18"/>
          <w:szCs w:val="18"/>
        </w:rPr>
        <w:t xml:space="preserve">o our knowledge, there are no published data on UTI etiological agents and their analogues genotypic characteristics of resistant species of bacteria among children in Qatar. Our findings generate crucial information about the molecular epidemiology of </w:t>
      </w:r>
      <w:r w:rsidRPr="004D3CD5">
        <w:rPr>
          <w:sz w:val="18"/>
          <w:szCs w:val="18"/>
        </w:rPr>
        <w:t>resistant gram-negative bacteria in pediatric pop</w:t>
      </w:r>
      <w:r w:rsidR="00EC2616">
        <w:rPr>
          <w:sz w:val="18"/>
          <w:szCs w:val="18"/>
        </w:rPr>
        <w:t>ulation in Qatar. Accordingly,</w:t>
      </w:r>
      <w:r w:rsidRPr="004D3CD5">
        <w:rPr>
          <w:sz w:val="18"/>
          <w:szCs w:val="18"/>
        </w:rPr>
        <w:t xml:space="preserve"> it will help in unders</w:t>
      </w:r>
      <w:r w:rsidR="00934B6A">
        <w:rPr>
          <w:sz w:val="18"/>
          <w:szCs w:val="18"/>
        </w:rPr>
        <w:t>tanding the ESBL</w:t>
      </w:r>
      <w:r w:rsidR="0002701E">
        <w:rPr>
          <w:sz w:val="18"/>
          <w:szCs w:val="18"/>
        </w:rPr>
        <w:t>s</w:t>
      </w:r>
      <w:r w:rsidR="00934B6A">
        <w:rPr>
          <w:sz w:val="18"/>
          <w:szCs w:val="18"/>
        </w:rPr>
        <w:t xml:space="preserve"> dynamic</w:t>
      </w:r>
      <w:r w:rsidRPr="004D3CD5">
        <w:rPr>
          <w:sz w:val="18"/>
          <w:szCs w:val="18"/>
        </w:rPr>
        <w:t xml:space="preserve"> and associated risk factors. More importantly</w:t>
      </w:r>
      <w:r w:rsidR="0002701E">
        <w:rPr>
          <w:sz w:val="18"/>
          <w:szCs w:val="18"/>
        </w:rPr>
        <w:t xml:space="preserve"> </w:t>
      </w:r>
      <w:r w:rsidR="00EC2616">
        <w:rPr>
          <w:sz w:val="18"/>
          <w:szCs w:val="18"/>
        </w:rPr>
        <w:t xml:space="preserve">will help in establishing the anti-microbial </w:t>
      </w:r>
      <w:r w:rsidRPr="004D3CD5">
        <w:rPr>
          <w:sz w:val="18"/>
          <w:szCs w:val="18"/>
        </w:rPr>
        <w:t>ste</w:t>
      </w:r>
      <w:r w:rsidR="0002701E">
        <w:rPr>
          <w:sz w:val="18"/>
          <w:szCs w:val="18"/>
        </w:rPr>
        <w:t xml:space="preserve">wardship program in Qatar and </w:t>
      </w:r>
      <w:r w:rsidRPr="004D3CD5">
        <w:rPr>
          <w:sz w:val="18"/>
          <w:szCs w:val="18"/>
        </w:rPr>
        <w:t>limiting the spread of antibiotic resistant bacteria in the community</w:t>
      </w:r>
      <w:r w:rsidR="0002701E">
        <w:rPr>
          <w:sz w:val="18"/>
          <w:szCs w:val="18"/>
        </w:rPr>
        <w:t xml:space="preserve"> by implementing the evidence based infection control measures.</w:t>
      </w:r>
    </w:p>
    <w:p w:rsidR="00AE3E37" w:rsidRPr="004D3CD5" w:rsidRDefault="00AE3E37" w:rsidP="004D3CD5">
      <w:pPr>
        <w:pStyle w:val="BodyText"/>
        <w:spacing w:before="2"/>
        <w:jc w:val="both"/>
        <w:rPr>
          <w:sz w:val="16"/>
        </w:rPr>
      </w:pPr>
    </w:p>
    <w:p w:rsidR="00AE3E37" w:rsidRDefault="00414F7B">
      <w:pPr>
        <w:spacing w:before="157"/>
        <w:ind w:left="100"/>
        <w:rPr>
          <w:rFonts w:ascii="Arial"/>
          <w:b/>
          <w:color w:val="BF5A14"/>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312165" w:rsidRDefault="000F352F" w:rsidP="00DC0664">
      <w:pPr>
        <w:pStyle w:val="ListParagraph"/>
        <w:numPr>
          <w:ilvl w:val="0"/>
          <w:numId w:val="2"/>
        </w:numPr>
        <w:rPr>
          <w:sz w:val="18"/>
        </w:rPr>
      </w:pPr>
      <w:r w:rsidRPr="000F352F">
        <w:rPr>
          <w:sz w:val="18"/>
        </w:rPr>
        <w:t xml:space="preserve"> </w:t>
      </w:r>
      <w:proofErr w:type="spellStart"/>
      <w:r w:rsidRPr="000F352F">
        <w:rPr>
          <w:sz w:val="18"/>
        </w:rPr>
        <w:t>Al-saadi</w:t>
      </w:r>
      <w:proofErr w:type="spellEnd"/>
      <w:r w:rsidR="00DC0664">
        <w:rPr>
          <w:sz w:val="18"/>
        </w:rPr>
        <w:t>, TM</w:t>
      </w:r>
      <w:r w:rsidRPr="000F352F">
        <w:rPr>
          <w:sz w:val="18"/>
        </w:rPr>
        <w:t xml:space="preserve">; </w:t>
      </w:r>
      <w:r w:rsidRPr="00520E9E">
        <w:rPr>
          <w:b/>
          <w:bCs/>
          <w:sz w:val="18"/>
        </w:rPr>
        <w:t>Eltai</w:t>
      </w:r>
      <w:r w:rsidR="00DC0664">
        <w:rPr>
          <w:b/>
          <w:bCs/>
          <w:sz w:val="18"/>
        </w:rPr>
        <w:t>, NO</w:t>
      </w:r>
      <w:r w:rsidRPr="000F352F">
        <w:rPr>
          <w:sz w:val="18"/>
        </w:rPr>
        <w:t xml:space="preserve">; </w:t>
      </w:r>
      <w:proofErr w:type="spellStart"/>
      <w:r w:rsidRPr="000F352F">
        <w:rPr>
          <w:sz w:val="18"/>
        </w:rPr>
        <w:t>Hamdi</w:t>
      </w:r>
      <w:proofErr w:type="spellEnd"/>
      <w:r w:rsidR="00DC0664">
        <w:rPr>
          <w:sz w:val="18"/>
        </w:rPr>
        <w:t xml:space="preserve"> WS</w:t>
      </w:r>
      <w:r w:rsidRPr="000F352F">
        <w:rPr>
          <w:sz w:val="18"/>
        </w:rPr>
        <w:t>; Bakhsh</w:t>
      </w:r>
      <w:r w:rsidR="00DC0664">
        <w:rPr>
          <w:sz w:val="18"/>
        </w:rPr>
        <w:t xml:space="preserve"> FD</w:t>
      </w:r>
      <w:r w:rsidRPr="000F352F">
        <w:rPr>
          <w:sz w:val="18"/>
        </w:rPr>
        <w:t>; Azzazy</w:t>
      </w:r>
      <w:r w:rsidR="00DC0664">
        <w:rPr>
          <w:sz w:val="18"/>
        </w:rPr>
        <w:t xml:space="preserve"> H</w:t>
      </w:r>
      <w:r w:rsidRPr="000F352F">
        <w:rPr>
          <w:sz w:val="18"/>
        </w:rPr>
        <w:t xml:space="preserve">; </w:t>
      </w:r>
      <w:proofErr w:type="spellStart"/>
      <w:r w:rsidRPr="000F352F">
        <w:rPr>
          <w:sz w:val="18"/>
        </w:rPr>
        <w:t>Al-ansari</w:t>
      </w:r>
      <w:proofErr w:type="spellEnd"/>
      <w:r w:rsidR="00DC0664">
        <w:rPr>
          <w:sz w:val="18"/>
        </w:rPr>
        <w:t xml:space="preserve"> N</w:t>
      </w:r>
      <w:r w:rsidRPr="000F352F">
        <w:rPr>
          <w:sz w:val="18"/>
        </w:rPr>
        <w:t>; Al-</w:t>
      </w:r>
      <w:proofErr w:type="spellStart"/>
      <w:r w:rsidRPr="000F352F">
        <w:rPr>
          <w:sz w:val="18"/>
        </w:rPr>
        <w:t>Thani</w:t>
      </w:r>
      <w:proofErr w:type="spellEnd"/>
      <w:r w:rsidR="00DC0664">
        <w:rPr>
          <w:sz w:val="18"/>
        </w:rPr>
        <w:t xml:space="preserve"> AA</w:t>
      </w:r>
      <w:r w:rsidRPr="000F352F">
        <w:rPr>
          <w:sz w:val="18"/>
        </w:rPr>
        <w:t xml:space="preserve">. </w:t>
      </w:r>
      <w:r w:rsidR="00F33529">
        <w:rPr>
          <w:sz w:val="18"/>
        </w:rPr>
        <w:t xml:space="preserve">(2017). </w:t>
      </w:r>
      <w:r w:rsidRPr="000F352F">
        <w:rPr>
          <w:sz w:val="18"/>
        </w:rPr>
        <w:t xml:space="preserve">Colorimetric gold nanoparticles-based assay for direct detection of </w:t>
      </w:r>
      <w:r w:rsidRPr="00477224">
        <w:rPr>
          <w:i/>
          <w:iCs/>
          <w:sz w:val="18"/>
        </w:rPr>
        <w:t>Clostridium difficile</w:t>
      </w:r>
      <w:r w:rsidRPr="000F352F">
        <w:rPr>
          <w:sz w:val="18"/>
        </w:rPr>
        <w:t xml:space="preserve"> in clinical isolates from Qatar,</w:t>
      </w:r>
      <w:r w:rsidR="00DC0664" w:rsidRPr="00DC0664">
        <w:t xml:space="preserve"> </w:t>
      </w:r>
      <w:r w:rsidR="00DC0664" w:rsidRPr="00DC0664">
        <w:rPr>
          <w:sz w:val="18"/>
        </w:rPr>
        <w:t>African Journal of Microbiology Research,</w:t>
      </w:r>
      <w:r w:rsidR="005B2997">
        <w:rPr>
          <w:sz w:val="18"/>
        </w:rPr>
        <w:t xml:space="preserve"> 11,</w:t>
      </w:r>
      <w:r w:rsidR="00DC0664" w:rsidRPr="00DC0664">
        <w:rPr>
          <w:sz w:val="18"/>
        </w:rPr>
        <w:t xml:space="preserve"> </w:t>
      </w:r>
      <w:r w:rsidR="00F33529">
        <w:rPr>
          <w:sz w:val="18"/>
        </w:rPr>
        <w:t>756-763.</w:t>
      </w:r>
      <w:r w:rsidRPr="000F352F">
        <w:rPr>
          <w:sz w:val="18"/>
        </w:rPr>
        <w:t xml:space="preserve"> </w:t>
      </w:r>
    </w:p>
    <w:p w:rsidR="000F352F" w:rsidRDefault="000F352F" w:rsidP="000F352F">
      <w:pPr>
        <w:pStyle w:val="ListParagraph"/>
        <w:numPr>
          <w:ilvl w:val="0"/>
          <w:numId w:val="2"/>
        </w:numPr>
        <w:rPr>
          <w:sz w:val="18"/>
        </w:rPr>
      </w:pPr>
      <w:r w:rsidRPr="00520E9E">
        <w:rPr>
          <w:b/>
          <w:bCs/>
          <w:sz w:val="18"/>
        </w:rPr>
        <w:t>Nahla O. Eltai</w:t>
      </w:r>
      <w:r w:rsidRPr="000F352F">
        <w:rPr>
          <w:sz w:val="18"/>
        </w:rPr>
        <w:t xml:space="preserve">, </w:t>
      </w:r>
      <w:proofErr w:type="spellStart"/>
      <w:r w:rsidRPr="000F352F">
        <w:rPr>
          <w:sz w:val="18"/>
        </w:rPr>
        <w:t>Vyv</w:t>
      </w:r>
      <w:proofErr w:type="spellEnd"/>
      <w:r w:rsidRPr="000F352F">
        <w:rPr>
          <w:sz w:val="18"/>
        </w:rPr>
        <w:t xml:space="preserve">. Salisbury and John </w:t>
      </w:r>
      <w:proofErr w:type="spellStart"/>
      <w:r w:rsidRPr="000F352F">
        <w:rPr>
          <w:sz w:val="18"/>
        </w:rPr>
        <w:t>Greenman</w:t>
      </w:r>
      <w:proofErr w:type="spellEnd"/>
      <w:r w:rsidRPr="000F352F">
        <w:rPr>
          <w:sz w:val="18"/>
        </w:rPr>
        <w:t xml:space="preserve"> (2015). Efficacy of oregano oil as a biocide agent against pathogens in vitro, using </w:t>
      </w:r>
      <w:proofErr w:type="gramStart"/>
      <w:r w:rsidRPr="000F352F">
        <w:rPr>
          <w:sz w:val="18"/>
        </w:rPr>
        <w:t>lux reporter gene technology</w:t>
      </w:r>
      <w:proofErr w:type="gramEnd"/>
      <w:r w:rsidRPr="000F352F">
        <w:rPr>
          <w:sz w:val="18"/>
        </w:rPr>
        <w:t>, African Journal of Microbiology Research, 9:2172-2182.</w:t>
      </w:r>
    </w:p>
    <w:p w:rsidR="00520E9E" w:rsidRPr="00520E9E" w:rsidRDefault="00520E9E" w:rsidP="00520E9E">
      <w:pPr>
        <w:pStyle w:val="ListParagraph"/>
        <w:numPr>
          <w:ilvl w:val="0"/>
          <w:numId w:val="2"/>
        </w:numPr>
        <w:rPr>
          <w:sz w:val="18"/>
        </w:rPr>
      </w:pPr>
      <w:r w:rsidRPr="00520E9E">
        <w:rPr>
          <w:sz w:val="18"/>
        </w:rPr>
        <w:t xml:space="preserve">Lewin, S.: </w:t>
      </w:r>
      <w:proofErr w:type="spellStart"/>
      <w:r w:rsidRPr="00520E9E">
        <w:rPr>
          <w:sz w:val="18"/>
        </w:rPr>
        <w:t>Schoenian</w:t>
      </w:r>
      <w:proofErr w:type="spellEnd"/>
      <w:r w:rsidRPr="00520E9E">
        <w:rPr>
          <w:sz w:val="18"/>
        </w:rPr>
        <w:t xml:space="preserve">, G., </w:t>
      </w:r>
      <w:r w:rsidRPr="00520E9E">
        <w:rPr>
          <w:b/>
          <w:bCs/>
          <w:sz w:val="18"/>
        </w:rPr>
        <w:t>El Tai, N. O</w:t>
      </w:r>
      <w:r w:rsidRPr="00520E9E">
        <w:rPr>
          <w:sz w:val="18"/>
        </w:rPr>
        <w:t xml:space="preserve">., </w:t>
      </w:r>
      <w:proofErr w:type="spellStart"/>
      <w:r w:rsidRPr="00520E9E">
        <w:rPr>
          <w:sz w:val="18"/>
        </w:rPr>
        <w:t>Oskam</w:t>
      </w:r>
      <w:proofErr w:type="spellEnd"/>
      <w:r w:rsidRPr="00520E9E">
        <w:rPr>
          <w:sz w:val="18"/>
        </w:rPr>
        <w:t xml:space="preserve">, L.; </w:t>
      </w:r>
      <w:proofErr w:type="spellStart"/>
      <w:r w:rsidRPr="00520E9E">
        <w:rPr>
          <w:sz w:val="18"/>
        </w:rPr>
        <w:t>Bastien</w:t>
      </w:r>
      <w:proofErr w:type="spellEnd"/>
      <w:r w:rsidRPr="00520E9E">
        <w:rPr>
          <w:sz w:val="18"/>
        </w:rPr>
        <w:t xml:space="preserve">, P.; </w:t>
      </w:r>
      <w:proofErr w:type="spellStart"/>
      <w:r w:rsidRPr="00520E9E">
        <w:rPr>
          <w:sz w:val="18"/>
        </w:rPr>
        <w:t>Presber</w:t>
      </w:r>
      <w:proofErr w:type="spellEnd"/>
      <w:r w:rsidRPr="00520E9E">
        <w:rPr>
          <w:sz w:val="18"/>
        </w:rPr>
        <w:t>, W</w:t>
      </w:r>
      <w:proofErr w:type="gramStart"/>
      <w:r w:rsidRPr="00520E9E">
        <w:rPr>
          <w:sz w:val="18"/>
        </w:rPr>
        <w:t>.</w:t>
      </w:r>
      <w:r w:rsidR="00D71FF2">
        <w:rPr>
          <w:sz w:val="18"/>
        </w:rPr>
        <w:t>(</w:t>
      </w:r>
      <w:proofErr w:type="gramEnd"/>
      <w:r w:rsidR="00D71FF2">
        <w:rPr>
          <w:sz w:val="18"/>
        </w:rPr>
        <w:t>2002).</w:t>
      </w:r>
      <w:r w:rsidRPr="00520E9E">
        <w:rPr>
          <w:sz w:val="18"/>
        </w:rPr>
        <w:t xml:space="preserve"> Strain typing in </w:t>
      </w:r>
      <w:proofErr w:type="spellStart"/>
      <w:r w:rsidRPr="00520E9E">
        <w:rPr>
          <w:sz w:val="18"/>
        </w:rPr>
        <w:t>Leishmania</w:t>
      </w:r>
      <w:proofErr w:type="spellEnd"/>
      <w:r w:rsidRPr="00520E9E">
        <w:rPr>
          <w:sz w:val="18"/>
        </w:rPr>
        <w:t xml:space="preserve"> </w:t>
      </w:r>
      <w:proofErr w:type="spellStart"/>
      <w:proofErr w:type="gramStart"/>
      <w:r w:rsidRPr="00520E9E">
        <w:rPr>
          <w:sz w:val="18"/>
        </w:rPr>
        <w:t>donovani</w:t>
      </w:r>
      <w:proofErr w:type="spellEnd"/>
      <w:r w:rsidRPr="00520E9E">
        <w:rPr>
          <w:sz w:val="18"/>
        </w:rPr>
        <w:t xml:space="preserve">  by</w:t>
      </w:r>
      <w:proofErr w:type="gramEnd"/>
      <w:r w:rsidRPr="00520E9E">
        <w:rPr>
          <w:sz w:val="18"/>
        </w:rPr>
        <w:t xml:space="preserve"> using sequence confirmed amplified region analysis. International </w:t>
      </w:r>
      <w:r w:rsidR="00D71FF2">
        <w:rPr>
          <w:sz w:val="18"/>
        </w:rPr>
        <w:t>Journal for Parasitology</w:t>
      </w:r>
      <w:proofErr w:type="gramStart"/>
      <w:r w:rsidR="00D71FF2">
        <w:rPr>
          <w:sz w:val="18"/>
        </w:rPr>
        <w:t xml:space="preserve">, </w:t>
      </w:r>
      <w:r w:rsidRPr="00520E9E">
        <w:rPr>
          <w:sz w:val="18"/>
        </w:rPr>
        <w:t xml:space="preserve"> 32</w:t>
      </w:r>
      <w:proofErr w:type="gramEnd"/>
      <w:r w:rsidRPr="00520E9E">
        <w:rPr>
          <w:sz w:val="18"/>
        </w:rPr>
        <w:t>, 1267-1276.</w:t>
      </w:r>
    </w:p>
    <w:p w:rsidR="000B2C9D" w:rsidRPr="000B2C9D" w:rsidRDefault="000B2C9D" w:rsidP="000B2C9D">
      <w:pPr>
        <w:pStyle w:val="ListParagraph"/>
        <w:numPr>
          <w:ilvl w:val="0"/>
          <w:numId w:val="2"/>
        </w:numPr>
        <w:rPr>
          <w:sz w:val="18"/>
        </w:rPr>
      </w:pPr>
      <w:r w:rsidRPr="000B2C9D">
        <w:rPr>
          <w:b/>
          <w:bCs/>
          <w:sz w:val="18"/>
        </w:rPr>
        <w:t>El Tai, N. O</w:t>
      </w:r>
      <w:r w:rsidRPr="000B2C9D">
        <w:rPr>
          <w:sz w:val="18"/>
        </w:rPr>
        <w:t xml:space="preserve">., </w:t>
      </w:r>
      <w:proofErr w:type="spellStart"/>
      <w:r w:rsidRPr="000B2C9D">
        <w:rPr>
          <w:sz w:val="18"/>
        </w:rPr>
        <w:t>Mauricio</w:t>
      </w:r>
      <w:proofErr w:type="gramStart"/>
      <w:r w:rsidRPr="000B2C9D">
        <w:rPr>
          <w:sz w:val="18"/>
        </w:rPr>
        <w:t>,I</w:t>
      </w:r>
      <w:proofErr w:type="spellEnd"/>
      <w:proofErr w:type="gramEnd"/>
      <w:r w:rsidRPr="000B2C9D">
        <w:rPr>
          <w:sz w:val="18"/>
        </w:rPr>
        <w:t xml:space="preserve"> . Miles, M.A., </w:t>
      </w:r>
      <w:proofErr w:type="spellStart"/>
      <w:r w:rsidRPr="000B2C9D">
        <w:rPr>
          <w:sz w:val="18"/>
        </w:rPr>
        <w:t>Oskam</w:t>
      </w:r>
      <w:proofErr w:type="spellEnd"/>
      <w:r w:rsidRPr="000B2C9D">
        <w:rPr>
          <w:sz w:val="18"/>
        </w:rPr>
        <w:t xml:space="preserve">, L. El Safi, S. H., </w:t>
      </w:r>
      <w:proofErr w:type="spellStart"/>
      <w:r w:rsidRPr="000B2C9D">
        <w:rPr>
          <w:sz w:val="18"/>
        </w:rPr>
        <w:t>Presber</w:t>
      </w:r>
      <w:proofErr w:type="spellEnd"/>
      <w:r w:rsidRPr="000B2C9D">
        <w:rPr>
          <w:sz w:val="18"/>
        </w:rPr>
        <w:t xml:space="preserve">, W., and </w:t>
      </w:r>
      <w:proofErr w:type="spellStart"/>
      <w:r w:rsidRPr="000B2C9D">
        <w:rPr>
          <w:sz w:val="18"/>
        </w:rPr>
        <w:t>Schoenian</w:t>
      </w:r>
      <w:proofErr w:type="spellEnd"/>
      <w:r w:rsidRPr="000B2C9D">
        <w:rPr>
          <w:sz w:val="18"/>
        </w:rPr>
        <w:t>, G.</w:t>
      </w:r>
      <w:r w:rsidR="00D71FF2">
        <w:rPr>
          <w:sz w:val="18"/>
        </w:rPr>
        <w:t xml:space="preserve"> (2001)</w:t>
      </w:r>
      <w:r w:rsidRPr="000B2C9D">
        <w:rPr>
          <w:sz w:val="18"/>
        </w:rPr>
        <w:t xml:space="preserve"> </w:t>
      </w:r>
      <w:proofErr w:type="spellStart"/>
      <w:r w:rsidRPr="000B2C9D">
        <w:rPr>
          <w:sz w:val="18"/>
        </w:rPr>
        <w:t>Leishmania</w:t>
      </w:r>
      <w:proofErr w:type="spellEnd"/>
      <w:r w:rsidRPr="000B2C9D">
        <w:rPr>
          <w:sz w:val="18"/>
        </w:rPr>
        <w:t xml:space="preserve"> </w:t>
      </w:r>
      <w:proofErr w:type="spellStart"/>
      <w:r w:rsidRPr="000B2C9D">
        <w:rPr>
          <w:sz w:val="18"/>
        </w:rPr>
        <w:t>donovani</w:t>
      </w:r>
      <w:proofErr w:type="spellEnd"/>
      <w:r w:rsidRPr="000B2C9D">
        <w:rPr>
          <w:sz w:val="18"/>
        </w:rPr>
        <w:t>:  intraspecific polymorphisms of Sudanese isolates revealed by PCR-based analysis and DNA sequencing. E</w:t>
      </w:r>
      <w:r w:rsidR="00D71FF2">
        <w:rPr>
          <w:sz w:val="18"/>
        </w:rPr>
        <w:t xml:space="preserve">xperimental Parasitology, </w:t>
      </w:r>
      <w:r w:rsidRPr="000B2C9D">
        <w:rPr>
          <w:sz w:val="18"/>
        </w:rPr>
        <w:t>97, 35-44.</w:t>
      </w:r>
    </w:p>
    <w:p w:rsidR="00520E9E" w:rsidRPr="000F352F" w:rsidRDefault="000B2C9D" w:rsidP="000B2C9D">
      <w:pPr>
        <w:pStyle w:val="ListParagraph"/>
        <w:numPr>
          <w:ilvl w:val="0"/>
          <w:numId w:val="2"/>
        </w:numPr>
        <w:rPr>
          <w:sz w:val="18"/>
        </w:rPr>
      </w:pPr>
      <w:r w:rsidRPr="000B2C9D">
        <w:rPr>
          <w:b/>
          <w:bCs/>
          <w:sz w:val="18"/>
        </w:rPr>
        <w:t>El Tai, N. O</w:t>
      </w:r>
      <w:r w:rsidRPr="000B2C9D">
        <w:rPr>
          <w:sz w:val="18"/>
        </w:rPr>
        <w:t xml:space="preserve">., Osman, O. F., El </w:t>
      </w:r>
      <w:proofErr w:type="spellStart"/>
      <w:r w:rsidRPr="000B2C9D">
        <w:rPr>
          <w:sz w:val="18"/>
        </w:rPr>
        <w:t>Fari</w:t>
      </w:r>
      <w:proofErr w:type="spellEnd"/>
      <w:r w:rsidRPr="000B2C9D">
        <w:rPr>
          <w:sz w:val="18"/>
        </w:rPr>
        <w:t xml:space="preserve">, M., </w:t>
      </w:r>
      <w:proofErr w:type="spellStart"/>
      <w:r w:rsidRPr="000B2C9D">
        <w:rPr>
          <w:sz w:val="18"/>
        </w:rPr>
        <w:t>Presber</w:t>
      </w:r>
      <w:proofErr w:type="spellEnd"/>
      <w:r w:rsidRPr="000B2C9D">
        <w:rPr>
          <w:sz w:val="18"/>
        </w:rPr>
        <w:t xml:space="preserve">, W, and </w:t>
      </w:r>
      <w:proofErr w:type="spellStart"/>
      <w:r w:rsidRPr="000B2C9D">
        <w:rPr>
          <w:sz w:val="18"/>
        </w:rPr>
        <w:t>Schoenian</w:t>
      </w:r>
      <w:proofErr w:type="spellEnd"/>
      <w:r w:rsidRPr="000B2C9D">
        <w:rPr>
          <w:sz w:val="18"/>
        </w:rPr>
        <w:t xml:space="preserve">, G. </w:t>
      </w:r>
      <w:r w:rsidR="00D71FF2">
        <w:rPr>
          <w:sz w:val="18"/>
        </w:rPr>
        <w:t xml:space="preserve">(2000). </w:t>
      </w:r>
      <w:r w:rsidRPr="000B2C9D">
        <w:rPr>
          <w:sz w:val="18"/>
        </w:rPr>
        <w:t xml:space="preserve">Gene Heterogeneity of ribosomal internal transcribed spacer in clinical samples of </w:t>
      </w:r>
      <w:proofErr w:type="spellStart"/>
      <w:r w:rsidRPr="000B2C9D">
        <w:rPr>
          <w:sz w:val="18"/>
        </w:rPr>
        <w:t>Leishmania</w:t>
      </w:r>
      <w:proofErr w:type="spellEnd"/>
      <w:r w:rsidRPr="000B2C9D">
        <w:rPr>
          <w:sz w:val="18"/>
        </w:rPr>
        <w:t xml:space="preserve"> </w:t>
      </w:r>
      <w:proofErr w:type="spellStart"/>
      <w:r w:rsidRPr="000B2C9D">
        <w:rPr>
          <w:sz w:val="18"/>
        </w:rPr>
        <w:t>donovani</w:t>
      </w:r>
      <w:proofErr w:type="spellEnd"/>
      <w:r w:rsidRPr="000B2C9D">
        <w:rPr>
          <w:sz w:val="18"/>
        </w:rPr>
        <w:t xml:space="preserve"> spotted on filter paper as revealed by single strand conformation polymorphisms and sequencing. Transactions of the Royal Society of Tropi</w:t>
      </w:r>
      <w:r w:rsidR="00D71FF2">
        <w:rPr>
          <w:sz w:val="18"/>
        </w:rPr>
        <w:t>cal Medicine and Hygiene,</w:t>
      </w:r>
      <w:r w:rsidRPr="000B2C9D">
        <w:rPr>
          <w:sz w:val="18"/>
        </w:rPr>
        <w:t xml:space="preserve"> 94, 575-579</w:t>
      </w:r>
    </w:p>
    <w:p w:rsidR="000F352F" w:rsidRPr="00312165" w:rsidRDefault="000F352F" w:rsidP="000F352F">
      <w:pPr>
        <w:pStyle w:val="ListParagraph"/>
        <w:ind w:firstLine="0"/>
        <w:rPr>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14:anchorId="35AF8333" wp14:editId="294912BF">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D095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0B6FBC" w:rsidRDefault="00A9710C" w:rsidP="000B6FBC">
      <w:pPr>
        <w:spacing w:before="92"/>
        <w:ind w:right="4234"/>
        <w:jc w:val="right"/>
        <w:rPr>
          <w:rFonts w:ascii="Arial"/>
          <w:color w:val="BF5A14"/>
          <w:highlight w:val="yellow"/>
        </w:rPr>
      </w:pPr>
      <w:r w:rsidRPr="004E6EF6">
        <w:rPr>
          <w:rFonts w:ascii="Arial"/>
          <w:color w:val="BF5A14"/>
          <w:highlight w:val="yellow"/>
        </w:rPr>
        <w:t>Biography</w:t>
      </w:r>
      <w:r w:rsidR="00404E5B" w:rsidRPr="004E6EF6">
        <w:rPr>
          <w:rFonts w:ascii="Arial"/>
          <w:color w:val="BF5A14"/>
          <w:highlight w:val="yellow"/>
        </w:rPr>
        <w:t xml:space="preserve"> (</w:t>
      </w:r>
      <w:proofErr w:type="gramStart"/>
      <w:r w:rsidR="00404E5B" w:rsidRPr="004E6EF6">
        <w:rPr>
          <w:rFonts w:ascii="Arial"/>
          <w:color w:val="BF5A14"/>
          <w:highlight w:val="yellow"/>
        </w:rPr>
        <w:t>150 word</w:t>
      </w:r>
      <w:proofErr w:type="gramEnd"/>
      <w:r w:rsidR="00404E5B" w:rsidRPr="004E6EF6">
        <w:rPr>
          <w:rFonts w:ascii="Arial"/>
          <w:color w:val="BF5A14"/>
          <w:highlight w:val="yellow"/>
        </w:rPr>
        <w:t xml:space="preserve"> </w:t>
      </w:r>
      <w:r w:rsidR="000B6FBC">
        <w:rPr>
          <w:rFonts w:ascii="Arial"/>
          <w:color w:val="BF5A14"/>
          <w:highlight w:val="yellow"/>
        </w:rPr>
        <w:t>limit)</w:t>
      </w:r>
    </w:p>
    <w:p w:rsidR="00AE3E37" w:rsidRDefault="000B6FBC" w:rsidP="00404E5B">
      <w:pPr>
        <w:spacing w:before="92"/>
        <w:ind w:right="4234"/>
        <w:rPr>
          <w:rFonts w:ascii="Arial"/>
        </w:rPr>
      </w:pPr>
      <w:r>
        <w:rPr>
          <w:rFonts w:ascii="Minion Pro"/>
          <w:noProof/>
          <w:sz w:val="24"/>
        </w:rPr>
        <w:drawing>
          <wp:anchor distT="0" distB="0" distL="114300" distR="114300" simplePos="0" relativeHeight="251660288" behindDoc="0" locked="0" layoutInCell="1" allowOverlap="1" wp14:anchorId="44F93F7D" wp14:editId="29057268">
            <wp:simplePos x="0" y="0"/>
            <wp:positionH relativeFrom="margin">
              <wp:posOffset>120650</wp:posOffset>
            </wp:positionH>
            <wp:positionV relativeFrom="paragraph">
              <wp:posOffset>154940</wp:posOffset>
            </wp:positionV>
            <wp:extent cx="647700" cy="840105"/>
            <wp:effectExtent l="0" t="0" r="0" b="0"/>
            <wp:wrapThrough wrapText="bothSides">
              <wp:wrapPolygon edited="0">
                <wp:start x="0" y="0"/>
                <wp:lineTo x="0" y="21061"/>
                <wp:lineTo x="20965" y="21061"/>
                <wp:lineTo x="20965"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ahla photo.jpg"/>
                    <pic:cNvPicPr/>
                  </pic:nvPicPr>
                  <pic:blipFill rotWithShape="1">
                    <a:blip r:embed="rId13" cstate="print">
                      <a:extLst>
                        <a:ext uri="{28A0092B-C50C-407E-A947-70E740481C1C}">
                          <a14:useLocalDpi xmlns:a14="http://schemas.microsoft.com/office/drawing/2010/main" val="0"/>
                        </a:ext>
                      </a:extLst>
                    </a:blip>
                    <a:srcRect l="25315" t="22582" r="40245" b="17788"/>
                    <a:stretch/>
                  </pic:blipFill>
                  <pic:spPr bwMode="auto">
                    <a:xfrm>
                      <a:off x="0" y="0"/>
                      <a:ext cx="647700" cy="840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2825" w:rsidRDefault="00F82825" w:rsidP="00F82825">
      <w:pPr>
        <w:widowControl/>
        <w:jc w:val="both"/>
        <w:rPr>
          <w:rFonts w:ascii="Times New Roman" w:eastAsia="Calibri" w:hAnsi="Times New Roman" w:cs="Times New Roman"/>
          <w:bCs/>
          <w:sz w:val="18"/>
          <w:szCs w:val="18"/>
        </w:rPr>
      </w:pPr>
      <w:r w:rsidRPr="00F82825">
        <w:rPr>
          <w:rFonts w:ascii="Times New Roman" w:eastAsia="Calibri" w:hAnsi="Times New Roman" w:cs="Times New Roman"/>
          <w:sz w:val="18"/>
          <w:szCs w:val="18"/>
        </w:rPr>
        <w:t>Nahla has completed her Ph.D. from Humboldt University, Berlin, Germany. Postdoctoral studies from University of the West of England, U.K. She is Research associate at Biomedical Research Centre, Qatar University. She has published many papers in the field of antibiotic resistance. Her research interests are multidisciplinary with emphasis on molecular diagnostic approaches, antimicrobial susceptibility &amp; resistance</w:t>
      </w:r>
      <w:r w:rsidRPr="00F82825">
        <w:rPr>
          <w:rFonts w:ascii="Times New Roman" w:eastAsia="Calibri" w:hAnsi="Times New Roman" w:cs="Times New Roman"/>
          <w:bCs/>
          <w:sz w:val="18"/>
          <w:szCs w:val="18"/>
        </w:rPr>
        <w:t xml:space="preserve">, test of new natural antimicrobial agents. She is adopting the one health system approach by studding antimicrobial resistance in agriculture, environment and human in Qatar. </w:t>
      </w:r>
    </w:p>
    <w:p w:rsidR="00060D4D" w:rsidRPr="00F82825" w:rsidRDefault="00060D4D" w:rsidP="00060D4D">
      <w:pPr>
        <w:widowControl/>
        <w:jc w:val="center"/>
        <w:rPr>
          <w:rFonts w:ascii="Times New Roman" w:eastAsia="Calibri" w:hAnsi="Times New Roman" w:cs="Times New Roman"/>
          <w:sz w:val="18"/>
          <w:szCs w:val="18"/>
        </w:rPr>
      </w:pPr>
      <w:r>
        <w:rPr>
          <w:rFonts w:ascii="Times New Roman" w:eastAsia="Calibri" w:hAnsi="Times New Roman" w:cs="Times New Roman"/>
          <w:bCs/>
          <w:sz w:val="18"/>
          <w:szCs w:val="18"/>
        </w:rPr>
        <w:t>Email: nahla.eltai@qu.edu.qa</w:t>
      </w:r>
    </w:p>
    <w:p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1A1B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73B" w:rsidRDefault="00EE273B">
      <w:r>
        <w:separator/>
      </w:r>
    </w:p>
  </w:endnote>
  <w:endnote w:type="continuationSeparator" w:id="0">
    <w:p w:rsidR="00EE273B" w:rsidRDefault="00EE2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73B" w:rsidRDefault="00EE273B">
      <w:r>
        <w:separator/>
      </w:r>
    </w:p>
  </w:footnote>
  <w:footnote w:type="continuationSeparator" w:id="0">
    <w:p w:rsidR="00EE273B" w:rsidRDefault="00EE27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E1E67"/>
    <w:multiLevelType w:val="hybridMultilevel"/>
    <w:tmpl w:val="09ECF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01E"/>
    <w:rsid w:val="00060D4D"/>
    <w:rsid w:val="000B2C9D"/>
    <w:rsid w:val="000B6FBC"/>
    <w:rsid w:val="000C4051"/>
    <w:rsid w:val="000D0D49"/>
    <w:rsid w:val="000E2911"/>
    <w:rsid w:val="000F352F"/>
    <w:rsid w:val="001263DF"/>
    <w:rsid w:val="00190F01"/>
    <w:rsid w:val="001E2A20"/>
    <w:rsid w:val="00262ECD"/>
    <w:rsid w:val="0028719D"/>
    <w:rsid w:val="00312165"/>
    <w:rsid w:val="003F2C0C"/>
    <w:rsid w:val="00404E5B"/>
    <w:rsid w:val="00414F7B"/>
    <w:rsid w:val="00425E03"/>
    <w:rsid w:val="00426CD2"/>
    <w:rsid w:val="004341BB"/>
    <w:rsid w:val="004355DC"/>
    <w:rsid w:val="004749B4"/>
    <w:rsid w:val="00477224"/>
    <w:rsid w:val="00492A52"/>
    <w:rsid w:val="004D3CD5"/>
    <w:rsid w:val="004E6EF6"/>
    <w:rsid w:val="004F3523"/>
    <w:rsid w:val="00520E9E"/>
    <w:rsid w:val="005803C1"/>
    <w:rsid w:val="005B2997"/>
    <w:rsid w:val="005B3A56"/>
    <w:rsid w:val="005B6A75"/>
    <w:rsid w:val="006060CE"/>
    <w:rsid w:val="0063497F"/>
    <w:rsid w:val="007D7771"/>
    <w:rsid w:val="007F281C"/>
    <w:rsid w:val="00873DF0"/>
    <w:rsid w:val="00896F55"/>
    <w:rsid w:val="008C41E7"/>
    <w:rsid w:val="00934B6A"/>
    <w:rsid w:val="009B2D44"/>
    <w:rsid w:val="00A0419B"/>
    <w:rsid w:val="00A212E4"/>
    <w:rsid w:val="00A33262"/>
    <w:rsid w:val="00A9710C"/>
    <w:rsid w:val="00AE3E37"/>
    <w:rsid w:val="00B11197"/>
    <w:rsid w:val="00B21A57"/>
    <w:rsid w:val="00B42AC2"/>
    <w:rsid w:val="00C1387F"/>
    <w:rsid w:val="00C214DC"/>
    <w:rsid w:val="00C33602"/>
    <w:rsid w:val="00CD6F55"/>
    <w:rsid w:val="00CF473A"/>
    <w:rsid w:val="00D43DE3"/>
    <w:rsid w:val="00D71FF2"/>
    <w:rsid w:val="00DC0664"/>
    <w:rsid w:val="00DE2D00"/>
    <w:rsid w:val="00EC2616"/>
    <w:rsid w:val="00ED11C8"/>
    <w:rsid w:val="00EE273B"/>
    <w:rsid w:val="00F21939"/>
    <w:rsid w:val="00F33529"/>
    <w:rsid w:val="00F72EEA"/>
    <w:rsid w:val="00F82825"/>
    <w:rsid w:val="00F84CAE"/>
    <w:rsid w:val="00FD72D3"/>
    <w:rsid w:val="00FE3B2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B6D21F-4DF7-481F-A9E9-29A54A6C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cid:image001.jpg@01D2E385.22AFAE60"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02.jpg@01D2E385.22AFAE6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Nahla Omer Ahmed Eltai</cp:lastModifiedBy>
  <cp:revision>3</cp:revision>
  <dcterms:created xsi:type="dcterms:W3CDTF">2017-07-28T14:07:00Z</dcterms:created>
  <dcterms:modified xsi:type="dcterms:W3CDTF">2017-07-28T14:13:00Z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